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color w:val="auto"/>
          <w:sz w:val="36"/>
          <w:szCs w:val="36"/>
        </w:rPr>
      </w:pPr>
      <w:bookmarkStart w:id="0" w:name="OLE_LINK1"/>
      <w:bookmarkStart w:id="1" w:name="OLE_LINK2"/>
      <w:bookmarkStart w:id="2" w:name="OLE_LINK4"/>
      <w:bookmarkStart w:id="3" w:name="OLE_LINK3"/>
      <w:r>
        <w:rPr>
          <w:rFonts w:hint="eastAsia" w:eastAsia="方正小标宋简体"/>
          <w:bCs/>
          <w:color w:val="auto"/>
          <w:sz w:val="44"/>
          <w:szCs w:val="44"/>
        </w:rPr>
        <w:t>湖南</w:t>
      </w:r>
      <w:r>
        <w:rPr>
          <w:rFonts w:hint="eastAsia" w:eastAsia="方正小标宋简体"/>
          <w:bCs/>
          <w:color w:val="auto"/>
          <w:sz w:val="44"/>
          <w:szCs w:val="44"/>
          <w:lang w:eastAsia="zh-CN"/>
        </w:rPr>
        <w:t>开放大学</w:t>
      </w:r>
      <w:r>
        <w:rPr>
          <w:rFonts w:hint="eastAsia" w:eastAsia="方正小标宋简体"/>
          <w:bCs/>
          <w:color w:val="auto"/>
          <w:sz w:val="44"/>
          <w:szCs w:val="44"/>
        </w:rPr>
        <w:t>高教系列专业技术</w:t>
      </w:r>
      <w:r>
        <w:rPr>
          <w:rFonts w:hint="eastAsia" w:eastAsia="方正小标宋简体"/>
          <w:bCs/>
          <w:color w:val="auto"/>
          <w:sz w:val="44"/>
          <w:szCs w:val="44"/>
          <w:lang w:val="en-US" w:eastAsia="zh-CN"/>
        </w:rPr>
        <w:t>职称</w:t>
      </w:r>
      <w:r>
        <w:rPr>
          <w:rFonts w:hint="eastAsia" w:eastAsia="方正小标宋简体"/>
          <w:bCs/>
          <w:color w:val="auto"/>
          <w:sz w:val="44"/>
          <w:szCs w:val="44"/>
        </w:rPr>
        <w:t>申报人员量化计分审核公示表</w:t>
      </w:r>
      <w:bookmarkEnd w:id="0"/>
      <w:bookmarkEnd w:id="1"/>
      <w:r>
        <w:rPr>
          <w:rFonts w:hint="eastAsia" w:eastAsia="方正小标宋简体"/>
          <w:bCs/>
          <w:color w:val="auto"/>
          <w:sz w:val="44"/>
          <w:szCs w:val="44"/>
        </w:rPr>
        <w:t>（通用）</w:t>
      </w:r>
    </w:p>
    <w:bookmarkEnd w:id="2"/>
    <w:bookmarkEnd w:id="3"/>
    <w:p w14:paraId="3DF98F01">
      <w:pPr>
        <w:rPr>
          <w:rFonts w:hint="default" w:eastAsia="宋体"/>
          <w:b/>
          <w:bCs/>
          <w:color w:val="auto"/>
          <w:szCs w:val="21"/>
          <w:lang w:val="en-US" w:eastAsia="zh-CN"/>
        </w:rPr>
      </w:pPr>
      <w:r>
        <w:rPr>
          <w:rFonts w:hint="eastAsia"/>
          <w:b/>
          <w:bCs/>
          <w:color w:val="auto"/>
          <w:szCs w:val="21"/>
          <w:lang w:val="en-US" w:eastAsia="zh-CN"/>
        </w:rPr>
        <w:t xml:space="preserve">  </w:t>
      </w:r>
    </w:p>
    <w:p w14:paraId="26439909">
      <w:pPr>
        <w:rPr>
          <w:rFonts w:hint="eastAsia" w:eastAsia="宋体"/>
          <w:b/>
          <w:bCs/>
          <w:color w:val="auto"/>
          <w:szCs w:val="21"/>
          <w:u w:val="single"/>
          <w:lang w:eastAsia="zh-CN"/>
        </w:rPr>
      </w:pPr>
      <w:r>
        <w:rPr>
          <w:rFonts w:hint="eastAsia"/>
          <w:b/>
          <w:bCs/>
          <w:color w:val="auto"/>
          <w:szCs w:val="21"/>
          <w:lang w:val="en-US" w:eastAsia="zh-CN"/>
        </w:rPr>
        <w:t>所在</w:t>
      </w:r>
      <w:r>
        <w:rPr>
          <w:rFonts w:hint="eastAsia"/>
          <w:b/>
          <w:bCs/>
          <w:color w:val="auto"/>
          <w:szCs w:val="21"/>
        </w:rPr>
        <w:t>单位</w:t>
      </w:r>
      <w:r>
        <w:rPr>
          <w:rFonts w:hint="eastAsia"/>
          <w:b/>
          <w:bCs/>
          <w:color w:val="auto"/>
          <w:szCs w:val="21"/>
          <w:lang w:val="en-US" w:eastAsia="zh-CN"/>
        </w:rPr>
        <w:t>部门</w:t>
      </w:r>
      <w:r>
        <w:rPr>
          <w:rFonts w:hint="eastAsia"/>
          <w:b/>
          <w:bCs/>
          <w:color w:val="auto"/>
          <w:szCs w:val="21"/>
          <w:lang w:eastAsia="zh-CN"/>
        </w:rPr>
        <w:t>（</w:t>
      </w:r>
      <w:r>
        <w:rPr>
          <w:rFonts w:hint="eastAsia"/>
          <w:b/>
          <w:bCs/>
          <w:color w:val="auto"/>
          <w:szCs w:val="21"/>
          <w:lang w:val="en-US" w:eastAsia="zh-CN"/>
        </w:rPr>
        <w:t>盖章</w:t>
      </w:r>
      <w:r>
        <w:rPr>
          <w:rFonts w:hint="eastAsia"/>
          <w:b/>
          <w:bCs/>
          <w:color w:val="auto"/>
          <w:szCs w:val="21"/>
          <w:lang w:eastAsia="zh-CN"/>
        </w:rPr>
        <w:t>）</w:t>
      </w:r>
      <w:r>
        <w:rPr>
          <w:rFonts w:hint="eastAsia"/>
          <w:b/>
          <w:bCs/>
          <w:color w:val="auto"/>
          <w:szCs w:val="21"/>
        </w:rPr>
        <w:t xml:space="preserve">： </w:t>
      </w:r>
      <w:r>
        <w:rPr>
          <w:rFonts w:hint="eastAsia"/>
          <w:b/>
          <w:bCs/>
          <w:color w:val="auto"/>
          <w:szCs w:val="21"/>
          <w:lang w:eastAsia="zh-CN"/>
        </w:rPr>
        <w:t>邵阳开放大学</w:t>
      </w:r>
      <w:r>
        <w:rPr>
          <w:rFonts w:hint="eastAsia"/>
          <w:b/>
          <w:bCs/>
          <w:color w:val="auto"/>
          <w:szCs w:val="21"/>
        </w:rPr>
        <w:t xml:space="preserve">  </w:t>
      </w:r>
      <w:r>
        <w:rPr>
          <w:rFonts w:hint="eastAsia"/>
          <w:b/>
          <w:bCs/>
          <w:color w:val="auto"/>
          <w:szCs w:val="21"/>
          <w:lang w:val="en-US" w:eastAsia="zh-CN"/>
        </w:rPr>
        <w:t xml:space="preserve"> </w:t>
      </w:r>
      <w:r>
        <w:rPr>
          <w:rFonts w:hint="eastAsia"/>
          <w:b/>
          <w:bCs/>
          <w:color w:val="auto"/>
          <w:szCs w:val="21"/>
        </w:rPr>
        <w:t xml:space="preserve"> 姓名：</w:t>
      </w:r>
      <w:r>
        <w:rPr>
          <w:rFonts w:hint="eastAsia"/>
          <w:b/>
          <w:bCs/>
          <w:color w:val="auto"/>
          <w:szCs w:val="21"/>
          <w:lang w:eastAsia="zh-CN"/>
        </w:rPr>
        <w:t>张先军</w:t>
      </w:r>
      <w:r>
        <w:rPr>
          <w:rFonts w:hint="eastAsia"/>
          <w:b/>
          <w:bCs/>
          <w:color w:val="auto"/>
          <w:szCs w:val="21"/>
        </w:rPr>
        <w:t xml:space="preserve">   性别：</w:t>
      </w:r>
      <w:r>
        <w:rPr>
          <w:rFonts w:hint="eastAsia"/>
          <w:b/>
          <w:bCs/>
          <w:color w:val="auto"/>
          <w:szCs w:val="21"/>
          <w:lang w:eastAsia="zh-CN"/>
        </w:rPr>
        <w:t>男</w:t>
      </w:r>
      <w:r>
        <w:rPr>
          <w:rFonts w:hint="eastAsia"/>
          <w:b/>
          <w:bCs/>
          <w:color w:val="auto"/>
          <w:szCs w:val="21"/>
        </w:rPr>
        <w:t xml:space="preserve">         申报职称及类型：</w:t>
      </w:r>
      <w:r>
        <w:rPr>
          <w:rFonts w:hint="eastAsia"/>
          <w:b/>
          <w:bCs/>
          <w:color w:val="auto"/>
          <w:szCs w:val="21"/>
          <w:lang w:val="en-US" w:eastAsia="zh-CN"/>
        </w:rPr>
        <w:t xml:space="preserve">  副教授（教学科研型）     </w:t>
      </w:r>
      <w:r>
        <w:rPr>
          <w:rFonts w:hint="eastAsia"/>
          <w:b/>
          <w:bCs/>
          <w:color w:val="auto"/>
          <w:szCs w:val="21"/>
        </w:rPr>
        <w:t xml:space="preserve">    </w:t>
      </w:r>
      <w:r>
        <w:rPr>
          <w:rFonts w:hint="eastAsia"/>
          <w:b/>
          <w:bCs/>
          <w:color w:val="auto"/>
          <w:szCs w:val="21"/>
          <w:lang w:val="en-US" w:eastAsia="zh-CN"/>
        </w:rPr>
        <w:t xml:space="preserve">             </w:t>
      </w:r>
      <w:r>
        <w:rPr>
          <w:rFonts w:hint="eastAsia"/>
          <w:b/>
          <w:bCs/>
          <w:color w:val="auto"/>
          <w:szCs w:val="21"/>
        </w:rPr>
        <w:t xml:space="preserve">申报所属学科（专业）： </w:t>
      </w:r>
      <w:r>
        <w:rPr>
          <w:rFonts w:hint="eastAsia"/>
          <w:b/>
          <w:bCs/>
          <w:color w:val="auto"/>
          <w:szCs w:val="21"/>
          <w:lang w:val="en-US" w:eastAsia="zh-CN"/>
        </w:rPr>
        <w:t xml:space="preserve"> 中国语言文学          </w:t>
      </w:r>
      <w:r>
        <w:rPr>
          <w:rFonts w:hint="eastAsia"/>
          <w:b/>
          <w:bCs/>
          <w:color w:val="auto"/>
          <w:szCs w:val="21"/>
        </w:rPr>
        <w:t>是否破格</w:t>
      </w:r>
      <w:r>
        <w:rPr>
          <w:rFonts w:hint="eastAsia"/>
          <w:b/>
          <w:bCs/>
          <w:color w:val="auto"/>
          <w:szCs w:val="21"/>
          <w:lang w:eastAsia="zh-CN"/>
        </w:rPr>
        <w:t>、</w:t>
      </w:r>
      <w:r>
        <w:rPr>
          <w:rFonts w:hint="eastAsia"/>
          <w:b/>
          <w:bCs/>
          <w:color w:val="auto"/>
          <w:szCs w:val="21"/>
          <w:lang w:val="en-US" w:eastAsia="zh-CN"/>
        </w:rPr>
        <w:t>绿色通道</w:t>
      </w:r>
      <w:r>
        <w:rPr>
          <w:rFonts w:hint="eastAsia"/>
          <w:b/>
          <w:bCs/>
          <w:color w:val="auto"/>
          <w:szCs w:val="21"/>
        </w:rPr>
        <w:t xml:space="preserve">: </w:t>
      </w:r>
      <w:r>
        <w:rPr>
          <w:rFonts w:hint="eastAsia"/>
          <w:b/>
          <w:bCs/>
          <w:color w:val="auto"/>
          <w:szCs w:val="21"/>
          <w:lang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355"/>
        <w:gridCol w:w="1578"/>
        <w:gridCol w:w="1163"/>
        <w:gridCol w:w="1187"/>
        <w:gridCol w:w="1997"/>
        <w:gridCol w:w="1390"/>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color w:val="auto"/>
                <w:szCs w:val="21"/>
              </w:rPr>
            </w:pPr>
            <w:r>
              <w:rPr>
                <w:rFonts w:hint="eastAsia"/>
                <w:b/>
                <w:color w:val="auto"/>
                <w:szCs w:val="21"/>
              </w:rPr>
              <w:t>基本情况</w:t>
            </w:r>
          </w:p>
        </w:tc>
        <w:tc>
          <w:tcPr>
            <w:tcW w:w="1163" w:type="dxa"/>
            <w:vAlign w:val="center"/>
          </w:tcPr>
          <w:p w14:paraId="3050EE39">
            <w:pPr>
              <w:adjustRightInd w:val="0"/>
              <w:snapToGrid w:val="0"/>
              <w:spacing w:line="276" w:lineRule="auto"/>
              <w:jc w:val="center"/>
              <w:rPr>
                <w:color w:val="auto"/>
                <w:szCs w:val="21"/>
              </w:rPr>
            </w:pPr>
            <w:r>
              <w:rPr>
                <w:rFonts w:hint="eastAsia"/>
                <w:color w:val="auto"/>
                <w:szCs w:val="21"/>
              </w:rPr>
              <w:t>现任专业技术职务</w:t>
            </w:r>
          </w:p>
        </w:tc>
        <w:tc>
          <w:tcPr>
            <w:tcW w:w="1655" w:type="dxa"/>
            <w:vAlign w:val="center"/>
          </w:tcPr>
          <w:p w14:paraId="707B784D">
            <w:pPr>
              <w:adjustRightInd w:val="0"/>
              <w:snapToGrid w:val="0"/>
              <w:spacing w:line="276" w:lineRule="auto"/>
              <w:jc w:val="center"/>
              <w:rPr>
                <w:rFonts w:hint="eastAsia"/>
                <w:color w:val="auto"/>
                <w:szCs w:val="21"/>
                <w:lang w:val="en-US" w:eastAsia="zh-CN"/>
              </w:rPr>
            </w:pPr>
            <w:r>
              <w:rPr>
                <w:rFonts w:hint="eastAsia"/>
                <w:color w:val="auto"/>
                <w:szCs w:val="21"/>
              </w:rPr>
              <w:t>获得时间</w:t>
            </w:r>
            <w:r>
              <w:rPr>
                <w:rFonts w:hint="eastAsia"/>
                <w:color w:val="auto"/>
                <w:szCs w:val="21"/>
                <w:lang w:val="en-US" w:eastAsia="zh-CN"/>
              </w:rPr>
              <w:t>及</w:t>
            </w:r>
          </w:p>
          <w:p w14:paraId="51A2CD41">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聘任时间</w:t>
            </w:r>
          </w:p>
        </w:tc>
        <w:tc>
          <w:tcPr>
            <w:tcW w:w="1180" w:type="dxa"/>
            <w:vAlign w:val="center"/>
          </w:tcPr>
          <w:p w14:paraId="2E5F7A49">
            <w:pPr>
              <w:adjustRightInd w:val="0"/>
              <w:snapToGrid w:val="0"/>
              <w:spacing w:line="276" w:lineRule="auto"/>
              <w:jc w:val="center"/>
              <w:rPr>
                <w:color w:val="auto"/>
                <w:szCs w:val="21"/>
              </w:rPr>
            </w:pPr>
            <w:r>
              <w:rPr>
                <w:rFonts w:hint="eastAsia"/>
                <w:color w:val="auto"/>
                <w:szCs w:val="21"/>
              </w:rPr>
              <w:t>最高学历</w:t>
            </w:r>
          </w:p>
        </w:tc>
        <w:tc>
          <w:tcPr>
            <w:tcW w:w="2355" w:type="dxa"/>
            <w:vAlign w:val="center"/>
          </w:tcPr>
          <w:p w14:paraId="1503E5FE">
            <w:pPr>
              <w:adjustRightInd w:val="0"/>
              <w:snapToGrid w:val="0"/>
              <w:spacing w:line="276" w:lineRule="auto"/>
              <w:jc w:val="center"/>
              <w:rPr>
                <w:color w:val="auto"/>
                <w:szCs w:val="21"/>
              </w:rPr>
            </w:pPr>
            <w:r>
              <w:rPr>
                <w:rFonts w:hint="eastAsia"/>
                <w:color w:val="auto"/>
                <w:szCs w:val="21"/>
              </w:rPr>
              <w:t>毕业学校</w:t>
            </w:r>
          </w:p>
        </w:tc>
        <w:tc>
          <w:tcPr>
            <w:tcW w:w="1578" w:type="dxa"/>
            <w:vAlign w:val="center"/>
          </w:tcPr>
          <w:p w14:paraId="4D43762B">
            <w:pPr>
              <w:adjustRightInd w:val="0"/>
              <w:snapToGrid w:val="0"/>
              <w:spacing w:line="276" w:lineRule="auto"/>
              <w:jc w:val="center"/>
              <w:rPr>
                <w:color w:val="auto"/>
                <w:szCs w:val="21"/>
              </w:rPr>
            </w:pPr>
            <w:r>
              <w:rPr>
                <w:rFonts w:hint="eastAsia"/>
                <w:color w:val="auto"/>
                <w:szCs w:val="21"/>
              </w:rPr>
              <w:t>所学专业</w:t>
            </w:r>
          </w:p>
        </w:tc>
        <w:tc>
          <w:tcPr>
            <w:tcW w:w="1163" w:type="dxa"/>
            <w:vAlign w:val="center"/>
          </w:tcPr>
          <w:p w14:paraId="1CF84EDE">
            <w:pPr>
              <w:adjustRightInd w:val="0"/>
              <w:snapToGrid w:val="0"/>
              <w:spacing w:line="276" w:lineRule="auto"/>
              <w:jc w:val="center"/>
              <w:rPr>
                <w:color w:val="auto"/>
                <w:szCs w:val="21"/>
              </w:rPr>
            </w:pPr>
            <w:r>
              <w:rPr>
                <w:rFonts w:hint="eastAsia"/>
                <w:color w:val="auto"/>
                <w:szCs w:val="21"/>
              </w:rPr>
              <w:t>毕业时间</w:t>
            </w:r>
          </w:p>
        </w:tc>
        <w:tc>
          <w:tcPr>
            <w:tcW w:w="1187" w:type="dxa"/>
            <w:vAlign w:val="center"/>
          </w:tcPr>
          <w:p w14:paraId="28E3FE6B">
            <w:pPr>
              <w:adjustRightInd w:val="0"/>
              <w:snapToGrid w:val="0"/>
              <w:spacing w:line="276" w:lineRule="auto"/>
              <w:jc w:val="center"/>
              <w:rPr>
                <w:color w:val="auto"/>
                <w:szCs w:val="21"/>
              </w:rPr>
            </w:pPr>
            <w:r>
              <w:rPr>
                <w:rFonts w:hint="eastAsia"/>
                <w:color w:val="auto"/>
                <w:szCs w:val="21"/>
              </w:rPr>
              <w:t>最高学位</w:t>
            </w:r>
          </w:p>
        </w:tc>
        <w:tc>
          <w:tcPr>
            <w:tcW w:w="1997" w:type="dxa"/>
            <w:vAlign w:val="center"/>
          </w:tcPr>
          <w:p w14:paraId="7BD72C48">
            <w:pPr>
              <w:adjustRightInd w:val="0"/>
              <w:snapToGrid w:val="0"/>
              <w:spacing w:line="276" w:lineRule="auto"/>
              <w:jc w:val="center"/>
              <w:rPr>
                <w:color w:val="auto"/>
                <w:szCs w:val="21"/>
              </w:rPr>
            </w:pPr>
            <w:r>
              <w:rPr>
                <w:rFonts w:hint="eastAsia"/>
                <w:color w:val="auto"/>
                <w:szCs w:val="21"/>
              </w:rPr>
              <w:t>毕业学校</w:t>
            </w:r>
          </w:p>
        </w:tc>
        <w:tc>
          <w:tcPr>
            <w:tcW w:w="1390" w:type="dxa"/>
            <w:vAlign w:val="center"/>
          </w:tcPr>
          <w:p w14:paraId="65E253BD">
            <w:pPr>
              <w:adjustRightInd w:val="0"/>
              <w:snapToGrid w:val="0"/>
              <w:spacing w:line="276" w:lineRule="auto"/>
              <w:jc w:val="center"/>
              <w:rPr>
                <w:color w:val="auto"/>
                <w:szCs w:val="21"/>
              </w:rPr>
            </w:pPr>
            <w:r>
              <w:rPr>
                <w:rFonts w:hint="eastAsia"/>
                <w:color w:val="auto"/>
                <w:szCs w:val="21"/>
              </w:rPr>
              <w:t>所学专业</w:t>
            </w:r>
          </w:p>
        </w:tc>
        <w:tc>
          <w:tcPr>
            <w:tcW w:w="1247" w:type="dxa"/>
            <w:vAlign w:val="center"/>
          </w:tcPr>
          <w:p w14:paraId="0925E834">
            <w:pPr>
              <w:adjustRightInd w:val="0"/>
              <w:snapToGrid w:val="0"/>
              <w:spacing w:line="276" w:lineRule="auto"/>
              <w:jc w:val="center"/>
              <w:rPr>
                <w:color w:val="auto"/>
                <w:szCs w:val="21"/>
              </w:rPr>
            </w:pPr>
            <w:r>
              <w:rPr>
                <w:rFonts w:hint="eastAsia"/>
                <w:color w:val="auto"/>
                <w:szCs w:val="21"/>
              </w:rPr>
              <w:t>获得时间</w:t>
            </w:r>
          </w:p>
        </w:tc>
        <w:tc>
          <w:tcPr>
            <w:tcW w:w="3258" w:type="dxa"/>
            <w:gridSpan w:val="3"/>
            <w:vAlign w:val="center"/>
          </w:tcPr>
          <w:p w14:paraId="441E6E58">
            <w:pPr>
              <w:adjustRightInd w:val="0"/>
              <w:snapToGrid w:val="0"/>
              <w:spacing w:line="276" w:lineRule="auto"/>
              <w:jc w:val="center"/>
              <w:rPr>
                <w:color w:val="auto"/>
                <w:szCs w:val="21"/>
              </w:rPr>
            </w:pPr>
            <w:r>
              <w:rPr>
                <w:rFonts w:hint="eastAsia"/>
                <w:color w:val="auto"/>
                <w:szCs w:val="21"/>
              </w:rPr>
              <w:t>现从事专业</w:t>
            </w:r>
          </w:p>
        </w:tc>
        <w:tc>
          <w:tcPr>
            <w:tcW w:w="2331" w:type="dxa"/>
            <w:vAlign w:val="center"/>
          </w:tcPr>
          <w:p w14:paraId="116DCDDC">
            <w:pPr>
              <w:adjustRightInd w:val="0"/>
              <w:snapToGrid w:val="0"/>
              <w:spacing w:line="276" w:lineRule="auto"/>
              <w:jc w:val="center"/>
              <w:rPr>
                <w:color w:val="auto"/>
                <w:szCs w:val="21"/>
              </w:rPr>
            </w:pPr>
            <w:r>
              <w:rPr>
                <w:rFonts w:hint="eastAsia"/>
                <w:color w:val="auto"/>
                <w:szCs w:val="21"/>
              </w:rPr>
              <w:t>审核人签名</w:t>
            </w:r>
          </w:p>
          <w:p w14:paraId="3BE2BC00">
            <w:pPr>
              <w:adjustRightInd w:val="0"/>
              <w:snapToGrid w:val="0"/>
              <w:spacing w:line="276" w:lineRule="auto"/>
              <w:jc w:val="center"/>
              <w:rPr>
                <w:color w:val="auto"/>
                <w:szCs w:val="21"/>
              </w:rPr>
            </w:pPr>
            <w:r>
              <w:rPr>
                <w:rFonts w:hint="eastAsia"/>
                <w:color w:val="auto"/>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color w:val="auto"/>
                <w:szCs w:val="21"/>
              </w:rPr>
            </w:pPr>
          </w:p>
        </w:tc>
        <w:tc>
          <w:tcPr>
            <w:tcW w:w="1163" w:type="dxa"/>
            <w:vAlign w:val="center"/>
          </w:tcPr>
          <w:p w14:paraId="54A2E1B5">
            <w:pPr>
              <w:tabs>
                <w:tab w:val="left" w:pos="440"/>
              </w:tabs>
              <w:adjustRightInd w:val="0"/>
              <w:snapToGrid w:val="0"/>
              <w:spacing w:line="276" w:lineRule="auto"/>
              <w:jc w:val="left"/>
              <w:rPr>
                <w:rFonts w:hint="eastAsia" w:eastAsia="宋体"/>
                <w:color w:val="auto"/>
                <w:szCs w:val="21"/>
                <w:lang w:eastAsia="zh-CN"/>
              </w:rPr>
            </w:pPr>
            <w:r>
              <w:rPr>
                <w:rFonts w:hint="eastAsia"/>
                <w:color w:val="auto"/>
                <w:szCs w:val="21"/>
                <w:lang w:eastAsia="zh-CN"/>
              </w:rPr>
              <w:tab/>
            </w:r>
            <w:r>
              <w:rPr>
                <w:rFonts w:hint="eastAsia"/>
                <w:color w:val="auto"/>
                <w:szCs w:val="21"/>
                <w:lang w:eastAsia="zh-CN"/>
              </w:rPr>
              <w:t>高级讲师</w:t>
            </w:r>
          </w:p>
        </w:tc>
        <w:tc>
          <w:tcPr>
            <w:tcW w:w="1655" w:type="dxa"/>
            <w:vAlign w:val="center"/>
          </w:tcPr>
          <w:p w14:paraId="338B6C8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2007年10月25日，2007年10月聘任</w:t>
            </w:r>
          </w:p>
        </w:tc>
        <w:tc>
          <w:tcPr>
            <w:tcW w:w="1180" w:type="dxa"/>
            <w:vAlign w:val="center"/>
          </w:tcPr>
          <w:p w14:paraId="226F5EBD">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本科</w:t>
            </w:r>
          </w:p>
        </w:tc>
        <w:tc>
          <w:tcPr>
            <w:tcW w:w="2355" w:type="dxa"/>
            <w:vAlign w:val="center"/>
          </w:tcPr>
          <w:p w14:paraId="021F323E">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湖南师范大学</w:t>
            </w:r>
          </w:p>
        </w:tc>
        <w:tc>
          <w:tcPr>
            <w:tcW w:w="1578" w:type="dxa"/>
            <w:vAlign w:val="center"/>
          </w:tcPr>
          <w:p w14:paraId="0D1A0DCB">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汉语言文学</w:t>
            </w:r>
          </w:p>
        </w:tc>
        <w:tc>
          <w:tcPr>
            <w:tcW w:w="1163" w:type="dxa"/>
            <w:vAlign w:val="center"/>
          </w:tcPr>
          <w:p w14:paraId="76744AD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1996年7月1日</w:t>
            </w:r>
          </w:p>
        </w:tc>
        <w:tc>
          <w:tcPr>
            <w:tcW w:w="1187" w:type="dxa"/>
            <w:vAlign w:val="center"/>
          </w:tcPr>
          <w:p w14:paraId="5A7CFCD9">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学士</w:t>
            </w:r>
          </w:p>
        </w:tc>
        <w:tc>
          <w:tcPr>
            <w:tcW w:w="1997" w:type="dxa"/>
            <w:vAlign w:val="center"/>
          </w:tcPr>
          <w:p w14:paraId="58890F95">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湖南师范大学</w:t>
            </w:r>
          </w:p>
        </w:tc>
        <w:tc>
          <w:tcPr>
            <w:tcW w:w="1390" w:type="dxa"/>
            <w:vAlign w:val="center"/>
          </w:tcPr>
          <w:p w14:paraId="16C4107A">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汉语言文学</w:t>
            </w:r>
          </w:p>
        </w:tc>
        <w:tc>
          <w:tcPr>
            <w:tcW w:w="1247" w:type="dxa"/>
            <w:vAlign w:val="center"/>
          </w:tcPr>
          <w:p w14:paraId="3D3F2A8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1996年7月1日</w:t>
            </w:r>
          </w:p>
        </w:tc>
        <w:tc>
          <w:tcPr>
            <w:tcW w:w="3258" w:type="dxa"/>
            <w:gridSpan w:val="3"/>
            <w:vAlign w:val="center"/>
          </w:tcPr>
          <w:p w14:paraId="4FA86394">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中国语言文学</w:t>
            </w:r>
          </w:p>
        </w:tc>
        <w:tc>
          <w:tcPr>
            <w:tcW w:w="2331" w:type="dxa"/>
            <w:vAlign w:val="center"/>
          </w:tcPr>
          <w:p w14:paraId="6C0E88B5">
            <w:pPr>
              <w:adjustRightInd w:val="0"/>
              <w:snapToGrid w:val="0"/>
              <w:spacing w:line="276" w:lineRule="auto"/>
              <w:jc w:val="center"/>
              <w:rPr>
                <w:rFonts w:hint="default" w:eastAsia="宋体"/>
                <w:color w:val="auto"/>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color w:val="auto"/>
                <w:szCs w:val="21"/>
              </w:rPr>
            </w:pPr>
            <w:r>
              <w:rPr>
                <w:rFonts w:hint="eastAsia"/>
                <w:b/>
                <w:color w:val="auto"/>
                <w:szCs w:val="21"/>
              </w:rPr>
              <w:t>一级指标</w:t>
            </w:r>
          </w:p>
        </w:tc>
        <w:tc>
          <w:tcPr>
            <w:tcW w:w="1163" w:type="dxa"/>
            <w:vAlign w:val="center"/>
          </w:tcPr>
          <w:p w14:paraId="27D9DA44">
            <w:pPr>
              <w:adjustRightInd w:val="0"/>
              <w:snapToGrid w:val="0"/>
              <w:spacing w:line="276" w:lineRule="auto"/>
              <w:jc w:val="center"/>
              <w:rPr>
                <w:b/>
                <w:color w:val="auto"/>
                <w:szCs w:val="21"/>
              </w:rPr>
            </w:pPr>
            <w:r>
              <w:rPr>
                <w:rFonts w:hint="eastAsia"/>
                <w:b/>
                <w:color w:val="auto"/>
                <w:szCs w:val="21"/>
              </w:rPr>
              <w:t>二级指标</w:t>
            </w:r>
          </w:p>
        </w:tc>
        <w:tc>
          <w:tcPr>
            <w:tcW w:w="14536" w:type="dxa"/>
            <w:gridSpan w:val="10"/>
            <w:vAlign w:val="center"/>
          </w:tcPr>
          <w:p w14:paraId="2556DBF0">
            <w:pPr>
              <w:adjustRightInd w:val="0"/>
              <w:snapToGrid w:val="0"/>
              <w:spacing w:line="276" w:lineRule="auto"/>
              <w:jc w:val="center"/>
              <w:rPr>
                <w:b/>
                <w:color w:val="auto"/>
                <w:szCs w:val="21"/>
              </w:rPr>
            </w:pPr>
            <w:r>
              <w:rPr>
                <w:rFonts w:hint="eastAsia"/>
                <w:b/>
                <w:color w:val="auto"/>
                <w:szCs w:val="21"/>
              </w:rPr>
              <w:t>计分情况</w:t>
            </w:r>
          </w:p>
        </w:tc>
        <w:tc>
          <w:tcPr>
            <w:tcW w:w="1200" w:type="dxa"/>
            <w:vAlign w:val="center"/>
          </w:tcPr>
          <w:p w14:paraId="5D553992">
            <w:pPr>
              <w:adjustRightInd w:val="0"/>
              <w:snapToGrid w:val="0"/>
              <w:spacing w:line="276" w:lineRule="auto"/>
              <w:jc w:val="center"/>
              <w:rPr>
                <w:b/>
                <w:color w:val="auto"/>
                <w:szCs w:val="21"/>
              </w:rPr>
            </w:pPr>
            <w:r>
              <w:rPr>
                <w:rFonts w:hint="eastAsia"/>
                <w:b/>
                <w:color w:val="auto"/>
                <w:szCs w:val="21"/>
              </w:rPr>
              <w:t>自评量化加分</w:t>
            </w:r>
          </w:p>
        </w:tc>
        <w:tc>
          <w:tcPr>
            <w:tcW w:w="1274" w:type="dxa"/>
          </w:tcPr>
          <w:p w14:paraId="5C368C83">
            <w:pPr>
              <w:adjustRightInd w:val="0"/>
              <w:snapToGrid w:val="0"/>
              <w:spacing w:line="276" w:lineRule="auto"/>
              <w:jc w:val="center"/>
              <w:rPr>
                <w:color w:val="auto"/>
                <w:szCs w:val="21"/>
              </w:rPr>
            </w:pPr>
            <w:r>
              <w:rPr>
                <w:rFonts w:hint="eastAsia"/>
                <w:b/>
                <w:color w:val="auto"/>
                <w:szCs w:val="21"/>
                <w:lang w:val="en-US" w:eastAsia="zh-CN"/>
              </w:rPr>
              <w:t>测评委员会</w:t>
            </w:r>
            <w:r>
              <w:rPr>
                <w:rFonts w:hint="eastAsia"/>
                <w:b/>
                <w:color w:val="auto"/>
                <w:szCs w:val="21"/>
              </w:rPr>
              <w:t>审核计分</w:t>
            </w:r>
          </w:p>
        </w:tc>
        <w:tc>
          <w:tcPr>
            <w:tcW w:w="2331" w:type="dxa"/>
            <w:vAlign w:val="center"/>
          </w:tcPr>
          <w:p w14:paraId="469604D7">
            <w:pPr>
              <w:adjustRightInd w:val="0"/>
              <w:snapToGrid w:val="0"/>
              <w:spacing w:line="276" w:lineRule="auto"/>
              <w:jc w:val="center"/>
              <w:rPr>
                <w:b/>
                <w:bCs/>
                <w:color w:val="auto"/>
                <w:szCs w:val="21"/>
              </w:rPr>
            </w:pPr>
            <w:r>
              <w:rPr>
                <w:rFonts w:hint="eastAsia"/>
                <w:b/>
                <w:bCs/>
                <w:color w:val="auto"/>
                <w:szCs w:val="21"/>
              </w:rPr>
              <w:t>审核人签名</w:t>
            </w:r>
          </w:p>
          <w:p w14:paraId="0A200D74">
            <w:pPr>
              <w:adjustRightInd w:val="0"/>
              <w:snapToGrid w:val="0"/>
              <w:spacing w:line="276" w:lineRule="auto"/>
              <w:jc w:val="center"/>
              <w:rPr>
                <w:rFonts w:hint="default" w:eastAsia="宋体"/>
                <w:color w:val="auto"/>
                <w:szCs w:val="21"/>
                <w:lang w:val="en-US" w:eastAsia="zh-CN"/>
              </w:rPr>
            </w:pPr>
            <w:r>
              <w:rPr>
                <w:rFonts w:hint="eastAsia"/>
                <w:b/>
                <w:bCs/>
                <w:color w:val="auto"/>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color w:val="auto"/>
                <w:szCs w:val="21"/>
                <w:lang w:val="en-US" w:eastAsia="zh-CN"/>
              </w:rPr>
            </w:pPr>
            <w:r>
              <w:rPr>
                <w:rFonts w:hint="eastAsia"/>
                <w:b/>
                <w:color w:val="auto"/>
                <w:szCs w:val="21"/>
              </w:rPr>
              <w:t>1.思想政治与师德</w:t>
            </w:r>
            <w:r>
              <w:rPr>
                <w:rFonts w:hint="eastAsia"/>
                <w:b/>
                <w:color w:val="auto"/>
                <w:szCs w:val="21"/>
                <w:lang w:val="en-US" w:eastAsia="zh-CN"/>
              </w:rPr>
              <w:t>师风（满分40分）</w:t>
            </w:r>
          </w:p>
        </w:tc>
        <w:tc>
          <w:tcPr>
            <w:tcW w:w="1163" w:type="dxa"/>
            <w:vAlign w:val="center"/>
          </w:tcPr>
          <w:p w14:paraId="2FB1F834">
            <w:pPr>
              <w:adjustRightInd w:val="0"/>
              <w:snapToGrid w:val="0"/>
              <w:spacing w:line="276" w:lineRule="auto"/>
              <w:jc w:val="center"/>
              <w:rPr>
                <w:color w:val="auto"/>
                <w:szCs w:val="21"/>
              </w:rPr>
            </w:pPr>
            <w:r>
              <w:rPr>
                <w:rFonts w:hint="eastAsia"/>
                <w:color w:val="auto"/>
                <w:szCs w:val="21"/>
              </w:rPr>
              <w:t xml:space="preserve">1-1 </w:t>
            </w:r>
          </w:p>
        </w:tc>
        <w:tc>
          <w:tcPr>
            <w:tcW w:w="14536" w:type="dxa"/>
            <w:gridSpan w:val="10"/>
            <w:vAlign w:val="center"/>
          </w:tcPr>
          <w:p w14:paraId="45B5723A">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lang w:eastAsia="zh-CN"/>
              </w:rPr>
              <w:t>20</w:t>
            </w:r>
            <w:r>
              <w:rPr>
                <w:rFonts w:hint="eastAsia"/>
                <w:color w:val="auto"/>
                <w:szCs w:val="21"/>
                <w:lang w:val="en-US" w:eastAsia="zh-CN"/>
              </w:rPr>
              <w:t>11</w:t>
            </w:r>
            <w:r>
              <w:rPr>
                <w:rFonts w:hint="eastAsia"/>
                <w:color w:val="auto"/>
                <w:szCs w:val="21"/>
              </w:rPr>
              <w:t>年，</w:t>
            </w:r>
            <w:r>
              <w:rPr>
                <w:rFonts w:hint="eastAsia"/>
                <w:color w:val="auto"/>
                <w:szCs w:val="21"/>
                <w:lang w:eastAsia="zh-CN"/>
              </w:rPr>
              <w:t>湖南省语言文字工作先进个人</w:t>
            </w:r>
            <w:r>
              <w:rPr>
                <w:rFonts w:hint="eastAsia"/>
                <w:color w:val="auto"/>
                <w:szCs w:val="21"/>
              </w:rPr>
              <w:t>，</w:t>
            </w:r>
            <w:r>
              <w:rPr>
                <w:rFonts w:hint="eastAsia"/>
                <w:color w:val="auto"/>
                <w:szCs w:val="21"/>
                <w:lang w:eastAsia="zh-CN"/>
              </w:rPr>
              <w:t>湖南省语言文字工作委员会、</w:t>
            </w:r>
            <w:r>
              <w:rPr>
                <w:rFonts w:hint="eastAsia"/>
                <w:color w:val="auto"/>
                <w:szCs w:val="21"/>
                <w:lang w:val="en-US" w:eastAsia="zh-CN"/>
              </w:rPr>
              <w:t>湖南省教育厅</w:t>
            </w:r>
            <w:r>
              <w:rPr>
                <w:rFonts w:hint="eastAsia"/>
                <w:color w:val="auto"/>
                <w:szCs w:val="21"/>
              </w:rPr>
              <w:t>，计</w:t>
            </w:r>
            <w:r>
              <w:rPr>
                <w:rFonts w:hint="eastAsia"/>
                <w:color w:val="auto"/>
                <w:szCs w:val="21"/>
                <w:lang w:val="en-US" w:eastAsia="zh-CN"/>
              </w:rPr>
              <w:t>12</w:t>
            </w:r>
            <w:r>
              <w:rPr>
                <w:rFonts w:hint="eastAsia"/>
                <w:color w:val="auto"/>
                <w:szCs w:val="21"/>
              </w:rPr>
              <w:t>分；</w:t>
            </w:r>
          </w:p>
          <w:p w14:paraId="0D02F06E">
            <w:pPr>
              <w:adjustRightInd w:val="0"/>
              <w:snapToGrid w:val="0"/>
              <w:spacing w:line="276" w:lineRule="auto"/>
              <w:rPr>
                <w:rFonts w:hint="eastAsia"/>
                <w:color w:val="auto"/>
                <w:szCs w:val="21"/>
                <w:lang w:val="en-US" w:eastAsia="zh-CN"/>
              </w:rPr>
            </w:pPr>
            <w:r>
              <w:rPr>
                <w:rFonts w:hint="eastAsia"/>
                <w:color w:val="auto"/>
                <w:szCs w:val="21"/>
                <w:lang w:val="en-US" w:eastAsia="zh-CN"/>
              </w:rPr>
              <w:t>2）2007年，邵阳市优秀教师，邵阳市人民政府办公室，计6分；</w:t>
            </w:r>
          </w:p>
          <w:p w14:paraId="55C72237">
            <w:pPr>
              <w:adjustRightInd w:val="0"/>
              <w:snapToGrid w:val="0"/>
              <w:spacing w:line="276" w:lineRule="auto"/>
              <w:rPr>
                <w:rFonts w:hint="eastAsia"/>
                <w:color w:val="auto"/>
                <w:szCs w:val="21"/>
                <w:lang w:val="en-US" w:eastAsia="zh-CN"/>
              </w:rPr>
            </w:pPr>
            <w:r>
              <w:rPr>
                <w:rFonts w:hint="eastAsia"/>
                <w:color w:val="auto"/>
                <w:szCs w:val="21"/>
                <w:lang w:val="en-US" w:eastAsia="zh-CN"/>
              </w:rPr>
              <w:t>3）2018年，邵阳市全市教育系统优秀党务工作者，邵阳市教育局，计4分；</w:t>
            </w:r>
          </w:p>
          <w:p w14:paraId="4A39A47D">
            <w:pPr>
              <w:adjustRightInd w:val="0"/>
              <w:snapToGrid w:val="0"/>
              <w:spacing w:line="276" w:lineRule="auto"/>
              <w:rPr>
                <w:rFonts w:hint="default"/>
                <w:color w:val="auto"/>
                <w:szCs w:val="21"/>
                <w:lang w:val="en-US" w:eastAsia="zh-CN"/>
              </w:rPr>
            </w:pPr>
            <w:r>
              <w:rPr>
                <w:rFonts w:hint="eastAsia"/>
                <w:color w:val="auto"/>
                <w:szCs w:val="21"/>
                <w:lang w:val="en-US" w:eastAsia="zh-CN"/>
              </w:rPr>
              <w:t>4）2019年，</w:t>
            </w:r>
            <w:r>
              <w:rPr>
                <w:rFonts w:hint="eastAsia"/>
                <w:color w:val="auto"/>
                <w:sz w:val="21"/>
                <w:szCs w:val="21"/>
                <w:lang w:val="en-US" w:eastAsia="zh-CN"/>
              </w:rPr>
              <w:t>全市组织系统抓党建促脱贫攻坚先进个人，中共邵阳市组织部、邵阳市人社局，计4分</w:t>
            </w:r>
          </w:p>
        </w:tc>
        <w:tc>
          <w:tcPr>
            <w:tcW w:w="1200" w:type="dxa"/>
            <w:vAlign w:val="center"/>
          </w:tcPr>
          <w:p w14:paraId="0068EE7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26</w:t>
            </w:r>
          </w:p>
        </w:tc>
        <w:tc>
          <w:tcPr>
            <w:tcW w:w="1274" w:type="dxa"/>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24</w:t>
            </w:r>
          </w:p>
        </w:tc>
        <w:tc>
          <w:tcPr>
            <w:tcW w:w="2331" w:type="dxa"/>
            <w:vAlign w:val="center"/>
          </w:tcPr>
          <w:p w14:paraId="47248124">
            <w:pPr>
              <w:adjustRightInd w:val="0"/>
              <w:snapToGrid w:val="0"/>
              <w:spacing w:line="276" w:lineRule="auto"/>
              <w:jc w:val="center"/>
              <w:rPr>
                <w:color w:val="auto"/>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color w:val="auto"/>
                <w:szCs w:val="21"/>
              </w:rPr>
            </w:pPr>
          </w:p>
        </w:tc>
        <w:tc>
          <w:tcPr>
            <w:tcW w:w="1163" w:type="dxa"/>
            <w:vAlign w:val="center"/>
          </w:tcPr>
          <w:p w14:paraId="500FCCA3">
            <w:pPr>
              <w:adjustRightInd w:val="0"/>
              <w:snapToGrid w:val="0"/>
              <w:spacing w:line="276" w:lineRule="auto"/>
              <w:jc w:val="center"/>
              <w:rPr>
                <w:color w:val="auto"/>
                <w:szCs w:val="21"/>
              </w:rPr>
            </w:pPr>
            <w:r>
              <w:rPr>
                <w:rFonts w:hint="eastAsia"/>
                <w:color w:val="auto"/>
                <w:szCs w:val="21"/>
              </w:rPr>
              <w:t>1-2</w:t>
            </w:r>
          </w:p>
        </w:tc>
        <w:tc>
          <w:tcPr>
            <w:tcW w:w="14536" w:type="dxa"/>
            <w:gridSpan w:val="10"/>
            <w:vAlign w:val="center"/>
          </w:tcPr>
          <w:p w14:paraId="27B0D4A7">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师德师风先进事迹宣传报道</w:t>
            </w:r>
          </w:p>
          <w:p w14:paraId="29B95818">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default"/>
                <w:color w:val="auto"/>
                <w:sz w:val="21"/>
                <w:szCs w:val="21"/>
                <w:lang w:val="en-US" w:eastAsia="zh-CN"/>
              </w:rPr>
            </w:pPr>
            <w:r>
              <w:rPr>
                <w:rFonts w:hint="eastAsia"/>
                <w:color w:val="auto"/>
                <w:sz w:val="21"/>
                <w:szCs w:val="21"/>
                <w:lang w:val="en-US" w:eastAsia="zh-CN"/>
              </w:rPr>
              <w:t>1)2022年12月18日，《邵阳日报》创建全国文明城市·第3版，传播诗词好文化 诗入寻常百姓家，计6分；</w:t>
            </w:r>
          </w:p>
          <w:p w14:paraId="26534791">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default"/>
                <w:color w:val="auto"/>
                <w:sz w:val="21"/>
                <w:szCs w:val="21"/>
                <w:lang w:val="en-US" w:eastAsia="zh-CN"/>
              </w:rPr>
            </w:pPr>
            <w:r>
              <w:rPr>
                <w:rFonts w:hint="eastAsia"/>
                <w:color w:val="auto"/>
                <w:sz w:val="21"/>
                <w:szCs w:val="21"/>
                <w:lang w:val="en-US" w:eastAsia="zh-CN"/>
              </w:rPr>
              <w:t>2)2019年3月25日，《湖南日报》政治文教·第7版，传播传统文化 传递公益情怀，计8分；</w:t>
            </w:r>
          </w:p>
          <w:p w14:paraId="028C0B3C">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default"/>
                <w:color w:val="auto"/>
                <w:sz w:val="21"/>
                <w:szCs w:val="21"/>
                <w:lang w:val="en-US" w:eastAsia="zh-CN"/>
              </w:rPr>
            </w:pPr>
            <w:r>
              <w:rPr>
                <w:rFonts w:hint="eastAsia"/>
                <w:color w:val="auto"/>
                <w:sz w:val="21"/>
                <w:szCs w:val="21"/>
                <w:lang w:val="en-US" w:eastAsia="zh-CN"/>
              </w:rPr>
              <w:t>3)2024-11-12  15:49:39《新华卫视网》专题栏目，做诗词文化的使者——记“湖南省社区教育优秀教师”张先军，计12分；</w:t>
            </w:r>
          </w:p>
          <w:p w14:paraId="5B378332">
            <w:pPr>
              <w:adjustRightInd w:val="0"/>
              <w:snapToGrid w:val="0"/>
              <w:spacing w:line="276" w:lineRule="auto"/>
              <w:rPr>
                <w:rFonts w:hint="default"/>
                <w:color w:val="auto"/>
                <w:szCs w:val="21"/>
                <w:lang w:val="en-US"/>
              </w:rPr>
            </w:pPr>
            <w:r>
              <w:rPr>
                <w:rFonts w:hint="eastAsia"/>
                <w:color w:val="auto"/>
                <w:sz w:val="21"/>
                <w:szCs w:val="21"/>
                <w:lang w:val="en-US" w:eastAsia="zh-CN"/>
              </w:rPr>
              <w:t>4)2024-11-13  15:4《搜狐网》潇湘文化，做诗词文化的使者——记“湖南省社区教育优秀教师”张先军，计12分。</w:t>
            </w:r>
          </w:p>
        </w:tc>
        <w:tc>
          <w:tcPr>
            <w:tcW w:w="1200" w:type="dxa"/>
            <w:vAlign w:val="center"/>
          </w:tcPr>
          <w:p w14:paraId="3E8B912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38</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w:t>
            </w:r>
          </w:p>
        </w:tc>
        <w:tc>
          <w:tcPr>
            <w:tcW w:w="2331" w:type="dxa"/>
            <w:vAlign w:val="center"/>
          </w:tcPr>
          <w:p w14:paraId="7116DB54">
            <w:pPr>
              <w:adjustRightInd w:val="0"/>
              <w:snapToGrid w:val="0"/>
              <w:spacing w:line="276" w:lineRule="auto"/>
              <w:jc w:val="center"/>
              <w:rPr>
                <w:color w:val="auto"/>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color w:val="auto"/>
                <w:szCs w:val="21"/>
              </w:rPr>
            </w:pPr>
          </w:p>
        </w:tc>
        <w:tc>
          <w:tcPr>
            <w:tcW w:w="1163" w:type="dxa"/>
            <w:vAlign w:val="center"/>
          </w:tcPr>
          <w:p w14:paraId="4250F0D2">
            <w:pPr>
              <w:adjustRightInd w:val="0"/>
              <w:snapToGrid w:val="0"/>
              <w:spacing w:line="276" w:lineRule="auto"/>
              <w:jc w:val="center"/>
              <w:rPr>
                <w:color w:val="auto"/>
                <w:szCs w:val="21"/>
              </w:rPr>
            </w:pPr>
            <w:r>
              <w:rPr>
                <w:rFonts w:hint="eastAsia"/>
                <w:color w:val="auto"/>
                <w:szCs w:val="21"/>
              </w:rPr>
              <w:t>1-3</w:t>
            </w:r>
          </w:p>
        </w:tc>
        <w:tc>
          <w:tcPr>
            <w:tcW w:w="14536" w:type="dxa"/>
            <w:gridSpan w:val="10"/>
            <w:vAlign w:val="center"/>
          </w:tcPr>
          <w:p w14:paraId="7BCF65C2">
            <w:pPr>
              <w:adjustRightInd w:val="0"/>
              <w:snapToGrid w:val="0"/>
              <w:spacing w:line="276" w:lineRule="auto"/>
              <w:rPr>
                <w:rFonts w:hint="eastAsia"/>
                <w:color w:val="auto"/>
                <w:szCs w:val="21"/>
                <w:lang w:val="en-US" w:eastAsia="zh-CN"/>
              </w:rPr>
            </w:pPr>
            <w:r>
              <w:rPr>
                <w:rFonts w:hint="eastAsia"/>
                <w:color w:val="auto"/>
                <w:szCs w:val="21"/>
                <w:lang w:val="en-US" w:eastAsia="zh-CN"/>
              </w:rPr>
              <w:t>开放教育办学体系获奖情况</w:t>
            </w:r>
          </w:p>
          <w:p w14:paraId="195FBA70">
            <w:pPr>
              <w:adjustRightInd w:val="0"/>
              <w:snapToGrid w:val="0"/>
              <w:spacing w:line="276" w:lineRule="auto"/>
              <w:rPr>
                <w:rFonts w:hint="eastAsia"/>
                <w:b w:val="0"/>
                <w:bCs w:val="0"/>
                <w:color w:val="auto"/>
                <w:sz w:val="21"/>
                <w:szCs w:val="21"/>
                <w:lang w:val="en-US" w:eastAsia="zh-CN"/>
              </w:rPr>
            </w:pPr>
            <w:r>
              <w:rPr>
                <w:rFonts w:hint="eastAsia"/>
                <w:b w:val="0"/>
                <w:bCs w:val="0"/>
                <w:color w:val="auto"/>
                <w:sz w:val="21"/>
                <w:szCs w:val="21"/>
                <w:lang w:val="en-US" w:eastAsia="zh-CN"/>
              </w:rPr>
              <w:t>1）2022年，2022年度湖南省社区教育优秀教师，湖南开放大学，计4分；</w:t>
            </w:r>
          </w:p>
          <w:p w14:paraId="2E10DC36">
            <w:pPr>
              <w:adjustRightInd w:val="0"/>
              <w:snapToGrid w:val="0"/>
              <w:spacing w:line="276" w:lineRule="auto"/>
              <w:rPr>
                <w:rFonts w:hint="eastAsia"/>
                <w:b w:val="0"/>
                <w:bCs w:val="0"/>
                <w:color w:val="auto"/>
                <w:sz w:val="21"/>
                <w:szCs w:val="21"/>
                <w:lang w:val="en-US" w:eastAsia="zh-CN"/>
              </w:rPr>
            </w:pPr>
            <w:r>
              <w:rPr>
                <w:rFonts w:hint="eastAsia"/>
                <w:b w:val="0"/>
                <w:bCs w:val="0"/>
                <w:color w:val="auto"/>
                <w:sz w:val="21"/>
                <w:szCs w:val="21"/>
                <w:lang w:val="en-US" w:eastAsia="zh-CN"/>
              </w:rPr>
              <w:t>2）2018年，优秀党务工作者，邵阳广播电视大学，计1分；</w:t>
            </w:r>
          </w:p>
          <w:p w14:paraId="28E36236">
            <w:pPr>
              <w:pStyle w:val="2"/>
              <w:jc w:val="left"/>
              <w:rPr>
                <w:rFonts w:hint="eastAsia"/>
                <w:b w:val="0"/>
                <w:bCs w:val="0"/>
                <w:color w:val="auto"/>
                <w:sz w:val="21"/>
                <w:szCs w:val="21"/>
                <w:lang w:val="en-US" w:eastAsia="zh-CN"/>
              </w:rPr>
            </w:pPr>
            <w:r>
              <w:rPr>
                <w:rFonts w:hint="eastAsia"/>
                <w:b w:val="0"/>
                <w:bCs w:val="0"/>
                <w:color w:val="auto"/>
                <w:sz w:val="21"/>
                <w:szCs w:val="21"/>
                <w:lang w:val="en-US" w:eastAsia="zh-CN"/>
              </w:rPr>
              <w:t>3）2018年，2017年度行政嘉奖，邵阳广播电视大学，计1分；</w:t>
            </w:r>
          </w:p>
          <w:p w14:paraId="5134DC20">
            <w:pPr>
              <w:rPr>
                <w:rFonts w:hint="eastAsia"/>
                <w:b w:val="0"/>
                <w:bCs w:val="0"/>
                <w:color w:val="auto"/>
                <w:sz w:val="21"/>
                <w:szCs w:val="21"/>
                <w:lang w:val="en-US" w:eastAsia="zh-CN"/>
              </w:rPr>
            </w:pPr>
            <w:r>
              <w:rPr>
                <w:rFonts w:hint="eastAsia"/>
                <w:b w:val="0"/>
                <w:bCs w:val="0"/>
                <w:color w:val="auto"/>
                <w:sz w:val="21"/>
                <w:szCs w:val="21"/>
                <w:lang w:val="en-US" w:eastAsia="zh-CN"/>
              </w:rPr>
              <w:t>4）2019年，优秀共产党员，邵阳广播电视大学，计1分；</w:t>
            </w:r>
          </w:p>
          <w:p w14:paraId="37C54B97">
            <w:pPr>
              <w:pStyle w:val="2"/>
              <w:jc w:val="both"/>
              <w:rPr>
                <w:rFonts w:hint="eastAsia"/>
                <w:b w:val="0"/>
                <w:bCs w:val="0"/>
                <w:color w:val="auto"/>
                <w:sz w:val="21"/>
                <w:szCs w:val="21"/>
                <w:lang w:val="en-US" w:eastAsia="zh-CN"/>
              </w:rPr>
            </w:pPr>
            <w:r>
              <w:rPr>
                <w:rFonts w:hint="eastAsia"/>
                <w:b w:val="0"/>
                <w:bCs w:val="0"/>
                <w:color w:val="auto"/>
                <w:sz w:val="21"/>
                <w:szCs w:val="21"/>
                <w:lang w:val="en-US" w:eastAsia="zh-CN"/>
              </w:rPr>
              <w:t>5）2019年，先进工作者，邵阳广播电视大学，计1分；</w:t>
            </w:r>
          </w:p>
          <w:p w14:paraId="2FB61A07">
            <w:pPr>
              <w:rPr>
                <w:rFonts w:hint="default"/>
                <w:lang w:val="en-US" w:eastAsia="zh-CN"/>
              </w:rPr>
            </w:pPr>
            <w:r>
              <w:rPr>
                <w:rFonts w:hint="eastAsia"/>
                <w:b w:val="0"/>
                <w:bCs w:val="0"/>
                <w:color w:val="auto"/>
                <w:sz w:val="21"/>
                <w:szCs w:val="21"/>
                <w:lang w:val="en-US" w:eastAsia="zh-CN"/>
              </w:rPr>
              <w:t>6）2020年，2019年度先进工作者，邵阳广播电视大学，计1分；</w:t>
            </w:r>
          </w:p>
        </w:tc>
        <w:tc>
          <w:tcPr>
            <w:tcW w:w="1200" w:type="dxa"/>
            <w:vAlign w:val="center"/>
          </w:tcPr>
          <w:p w14:paraId="650AE24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3F0DC3A6">
            <w:pPr>
              <w:adjustRightInd w:val="0"/>
              <w:snapToGrid w:val="0"/>
              <w:spacing w:line="276" w:lineRule="auto"/>
              <w:jc w:val="center"/>
              <w:rPr>
                <w:color w:val="auto"/>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color w:val="auto"/>
                <w:szCs w:val="21"/>
              </w:rPr>
            </w:pPr>
          </w:p>
        </w:tc>
        <w:tc>
          <w:tcPr>
            <w:tcW w:w="1163" w:type="dxa"/>
            <w:vAlign w:val="center"/>
          </w:tcPr>
          <w:p w14:paraId="3F819AE4">
            <w:pPr>
              <w:adjustRightInd w:val="0"/>
              <w:snapToGrid w:val="0"/>
              <w:spacing w:line="276" w:lineRule="auto"/>
              <w:jc w:val="center"/>
              <w:rPr>
                <w:rFonts w:hint="eastAsia"/>
                <w:color w:val="auto"/>
                <w:szCs w:val="21"/>
              </w:rPr>
            </w:pPr>
            <w:r>
              <w:rPr>
                <w:rFonts w:hint="eastAsia"/>
                <w:color w:val="auto"/>
                <w:szCs w:val="21"/>
              </w:rPr>
              <w:t>1-4</w:t>
            </w:r>
          </w:p>
          <w:p w14:paraId="7084A0CB">
            <w:pPr>
              <w:adjustRightInd w:val="0"/>
              <w:snapToGrid w:val="0"/>
              <w:spacing w:line="276" w:lineRule="auto"/>
              <w:jc w:val="center"/>
              <w:rPr>
                <w:rFonts w:hint="default" w:eastAsia="宋体"/>
                <w:color w:val="auto"/>
                <w:szCs w:val="21"/>
                <w:lang w:val="en-US" w:eastAsia="zh-CN"/>
              </w:rPr>
            </w:pPr>
            <w:r>
              <w:rPr>
                <w:rFonts w:hint="eastAsia"/>
                <w:color w:val="auto"/>
                <w:szCs w:val="21"/>
                <w:lang w:eastAsia="zh-CN"/>
              </w:rPr>
              <w:t>（</w:t>
            </w:r>
            <w:r>
              <w:rPr>
                <w:rFonts w:hint="eastAsia"/>
                <w:color w:val="auto"/>
                <w:sz w:val="16"/>
                <w:szCs w:val="16"/>
                <w:lang w:val="en-US" w:eastAsia="zh-CN"/>
              </w:rPr>
              <w:t>满分6分）</w:t>
            </w:r>
          </w:p>
        </w:tc>
        <w:tc>
          <w:tcPr>
            <w:tcW w:w="14536" w:type="dxa"/>
            <w:gridSpan w:val="10"/>
            <w:vAlign w:val="center"/>
          </w:tcPr>
          <w:p w14:paraId="6221E850">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6A3870F4">
            <w:pPr>
              <w:adjustRightInd w:val="0"/>
              <w:snapToGrid w:val="0"/>
              <w:spacing w:line="276" w:lineRule="auto"/>
              <w:jc w:val="center"/>
              <w:rPr>
                <w:rFonts w:hint="default" w:eastAsia="宋体"/>
                <w:color w:val="auto"/>
                <w:szCs w:val="21"/>
                <w:lang w:val="en-US" w:eastAsia="zh-CN"/>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uto"/>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color w:val="auto"/>
                <w:szCs w:val="21"/>
              </w:rPr>
            </w:pPr>
          </w:p>
        </w:tc>
        <w:tc>
          <w:tcPr>
            <w:tcW w:w="1163" w:type="dxa"/>
            <w:vAlign w:val="center"/>
          </w:tcPr>
          <w:p w14:paraId="4ACB53E2">
            <w:pPr>
              <w:adjustRightInd w:val="0"/>
              <w:snapToGrid w:val="0"/>
              <w:spacing w:line="276" w:lineRule="auto"/>
              <w:jc w:val="center"/>
              <w:rPr>
                <w:rFonts w:hint="eastAsia"/>
                <w:color w:val="auto"/>
                <w:szCs w:val="21"/>
              </w:rPr>
            </w:pPr>
            <w:r>
              <w:rPr>
                <w:rFonts w:hint="eastAsia"/>
                <w:color w:val="auto"/>
                <w:szCs w:val="21"/>
              </w:rPr>
              <w:t>1-5</w:t>
            </w:r>
          </w:p>
          <w:p w14:paraId="2A3FE5DD">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3FCF60C">
            <w:pPr>
              <w:adjustRightInd w:val="0"/>
              <w:snapToGrid w:val="0"/>
              <w:spacing w:line="276" w:lineRule="auto"/>
              <w:jc w:val="center"/>
              <w:rPr>
                <w:rFonts w:hint="eastAsia" w:eastAsia="宋体"/>
                <w:color w:val="auto"/>
                <w:szCs w:val="21"/>
                <w:lang w:val="en-US" w:eastAsia="zh-CN"/>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uto"/>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color w:val="auto"/>
                <w:szCs w:val="21"/>
              </w:rPr>
            </w:pPr>
          </w:p>
        </w:tc>
        <w:tc>
          <w:tcPr>
            <w:tcW w:w="1163" w:type="dxa"/>
            <w:vAlign w:val="center"/>
          </w:tcPr>
          <w:p w14:paraId="5D939316">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1-6</w:t>
            </w:r>
          </w:p>
          <w:p w14:paraId="2A723F12">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0FB9BA99">
            <w:pPr>
              <w:adjustRightInd w:val="0"/>
              <w:snapToGrid w:val="0"/>
              <w:spacing w:line="276" w:lineRule="auto"/>
              <w:rPr>
                <w:rFonts w:hint="eastAsia"/>
                <w:b w:val="0"/>
                <w:bCs w:val="0"/>
                <w:color w:val="auto"/>
                <w:vertAlign w:val="baseline"/>
                <w:lang w:val="en-US" w:eastAsia="zh-CN"/>
              </w:rPr>
            </w:pPr>
            <w:r>
              <w:rPr>
                <w:rFonts w:hint="eastAsia"/>
                <w:color w:val="auto"/>
                <w:szCs w:val="21"/>
                <w:lang w:val="en-US" w:eastAsia="zh-CN"/>
              </w:rPr>
              <w:t>任现职以来，年度考核优秀情况</w:t>
            </w:r>
          </w:p>
          <w:p w14:paraId="2A874C4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1）2008年三等功，计1分；</w:t>
            </w:r>
          </w:p>
          <w:p w14:paraId="15C20C6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2）2014年度优秀，计1分；</w:t>
            </w:r>
          </w:p>
          <w:p w14:paraId="5771B80E">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3）2018年度优秀，计1分。</w:t>
            </w:r>
          </w:p>
        </w:tc>
        <w:tc>
          <w:tcPr>
            <w:tcW w:w="1200" w:type="dxa"/>
            <w:vAlign w:val="center"/>
          </w:tcPr>
          <w:p w14:paraId="6BE6B37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rFonts w:hint="eastAsia" w:eastAsia="宋体"/>
                <w:color w:val="auto"/>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color w:val="auto"/>
                <w:szCs w:val="21"/>
              </w:rPr>
            </w:pPr>
            <w:r>
              <w:rPr>
                <w:rFonts w:hint="eastAsia"/>
                <w:b/>
                <w:color w:val="auto"/>
                <w:szCs w:val="21"/>
              </w:rPr>
              <w:t>2.资历与学历学位</w:t>
            </w:r>
          </w:p>
        </w:tc>
        <w:tc>
          <w:tcPr>
            <w:tcW w:w="1163" w:type="dxa"/>
            <w:vAlign w:val="center"/>
          </w:tcPr>
          <w:p w14:paraId="5FD7A916">
            <w:pPr>
              <w:adjustRightInd w:val="0"/>
              <w:snapToGrid w:val="0"/>
              <w:spacing w:line="276" w:lineRule="auto"/>
              <w:jc w:val="center"/>
              <w:rPr>
                <w:color w:val="auto"/>
                <w:szCs w:val="21"/>
              </w:rPr>
            </w:pPr>
            <w:r>
              <w:rPr>
                <w:rFonts w:hint="eastAsia"/>
                <w:color w:val="auto"/>
                <w:szCs w:val="21"/>
              </w:rPr>
              <w:t>2-1</w:t>
            </w:r>
          </w:p>
        </w:tc>
        <w:tc>
          <w:tcPr>
            <w:tcW w:w="14536" w:type="dxa"/>
            <w:gridSpan w:val="10"/>
            <w:vAlign w:val="center"/>
          </w:tcPr>
          <w:p w14:paraId="423CCEF1">
            <w:pPr>
              <w:adjustRightInd w:val="0"/>
              <w:snapToGrid w:val="0"/>
              <w:spacing w:line="276" w:lineRule="auto"/>
              <w:rPr>
                <w:rFonts w:hint="eastAsia" w:eastAsia="宋体"/>
                <w:b w:val="0"/>
                <w:bCs w:val="0"/>
                <w:color w:val="auto"/>
                <w:vertAlign w:val="baseline"/>
                <w:lang w:val="en-US" w:eastAsia="zh-CN"/>
              </w:rPr>
            </w:pPr>
            <w:r>
              <w:rPr>
                <w:rFonts w:hint="eastAsia"/>
                <w:color w:val="auto"/>
                <w:szCs w:val="21"/>
                <w:lang w:val="en-US" w:eastAsia="zh-CN"/>
              </w:rPr>
              <w:t>学历学位情况</w:t>
            </w:r>
          </w:p>
          <w:p w14:paraId="1CEDBFDB">
            <w:pPr>
              <w:adjustRightInd w:val="0"/>
              <w:snapToGrid w:val="0"/>
              <w:spacing w:line="276" w:lineRule="auto"/>
              <w:rPr>
                <w:rFonts w:hint="default"/>
                <w:b w:val="0"/>
                <w:bCs w:val="0"/>
                <w:color w:val="auto"/>
                <w:vertAlign w:val="baseline"/>
                <w:lang w:val="en-US" w:eastAsia="zh-CN"/>
              </w:rPr>
            </w:pPr>
            <w:r>
              <w:rPr>
                <w:rFonts w:hint="eastAsia" w:eastAsia="宋体"/>
                <w:b w:val="0"/>
                <w:bCs w:val="0"/>
                <w:color w:val="auto"/>
                <w:vertAlign w:val="baseline"/>
                <w:lang w:val="en-US" w:eastAsia="zh-CN"/>
              </w:rPr>
              <w:t>1）</w:t>
            </w:r>
            <w:r>
              <w:rPr>
                <w:rFonts w:hint="eastAsia"/>
                <w:b w:val="0"/>
                <w:bCs w:val="0"/>
                <w:color w:val="auto"/>
                <w:vertAlign w:val="baseline"/>
                <w:lang w:val="en-US" w:eastAsia="zh-CN"/>
              </w:rPr>
              <w:t>1996年湖南师范大学学</w:t>
            </w:r>
            <w:r>
              <w:rPr>
                <w:rFonts w:hint="eastAsia" w:eastAsia="宋体"/>
                <w:b w:val="0"/>
                <w:bCs w:val="0"/>
                <w:color w:val="auto"/>
                <w:vertAlign w:val="baseline"/>
                <w:lang w:val="en-US" w:eastAsia="zh-CN"/>
              </w:rPr>
              <w:t>士学历学位，计1分</w:t>
            </w:r>
          </w:p>
        </w:tc>
        <w:tc>
          <w:tcPr>
            <w:tcW w:w="1200" w:type="dxa"/>
            <w:vAlign w:val="center"/>
          </w:tcPr>
          <w:p w14:paraId="0A370D9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9F4AB7E">
            <w:pPr>
              <w:adjustRightInd w:val="0"/>
              <w:snapToGrid w:val="0"/>
              <w:spacing w:line="276" w:lineRule="auto"/>
              <w:jc w:val="center"/>
              <w:rPr>
                <w:color w:val="auto"/>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color w:val="auto"/>
                <w:szCs w:val="21"/>
              </w:rPr>
            </w:pPr>
          </w:p>
        </w:tc>
        <w:tc>
          <w:tcPr>
            <w:tcW w:w="1163" w:type="dxa"/>
            <w:vAlign w:val="center"/>
          </w:tcPr>
          <w:p w14:paraId="6658406D">
            <w:pPr>
              <w:adjustRightInd w:val="0"/>
              <w:snapToGrid w:val="0"/>
              <w:spacing w:line="276" w:lineRule="auto"/>
              <w:jc w:val="center"/>
              <w:rPr>
                <w:rFonts w:hint="eastAsia"/>
                <w:color w:val="auto"/>
                <w:szCs w:val="21"/>
              </w:rPr>
            </w:pPr>
            <w:r>
              <w:rPr>
                <w:rFonts w:hint="eastAsia"/>
                <w:color w:val="auto"/>
                <w:szCs w:val="21"/>
              </w:rPr>
              <w:t>2-2</w:t>
            </w:r>
          </w:p>
        </w:tc>
        <w:tc>
          <w:tcPr>
            <w:tcW w:w="14536" w:type="dxa"/>
            <w:gridSpan w:val="10"/>
            <w:vAlign w:val="center"/>
          </w:tcPr>
          <w:p w14:paraId="207AD53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外语和计算机水平</w:t>
            </w:r>
          </w:p>
          <w:p w14:paraId="26C7725E">
            <w:pPr>
              <w:rPr>
                <w:rFonts w:hint="eastAsia"/>
                <w:b w:val="0"/>
                <w:bCs w:val="0"/>
                <w:color w:val="auto"/>
                <w:vertAlign w:val="baseline"/>
                <w:lang w:val="en-US" w:eastAsia="zh-CN"/>
              </w:rPr>
            </w:pPr>
            <w:r>
              <w:rPr>
                <w:rFonts w:hint="eastAsia"/>
                <w:b w:val="0"/>
                <w:bCs w:val="0"/>
                <w:color w:val="auto"/>
                <w:vertAlign w:val="baseline"/>
                <w:lang w:val="en-US" w:eastAsia="zh-CN"/>
              </w:rPr>
              <w:t>全国职称外语水平考试，符合外语考试目录的第1条，计3分；</w:t>
            </w:r>
          </w:p>
          <w:p w14:paraId="4C88E6B1">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国专业技术人员计算机应用能力考试，符合计算机考试目录第1条，计3分。</w:t>
            </w:r>
          </w:p>
        </w:tc>
        <w:tc>
          <w:tcPr>
            <w:tcW w:w="1200" w:type="dxa"/>
            <w:vAlign w:val="center"/>
          </w:tcPr>
          <w:p w14:paraId="5983BF1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rFonts w:hint="eastAsia"/>
                <w:color w:val="auto"/>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color w:val="auto"/>
                <w:szCs w:val="21"/>
              </w:rPr>
            </w:pPr>
          </w:p>
        </w:tc>
        <w:tc>
          <w:tcPr>
            <w:tcW w:w="1163" w:type="dxa"/>
            <w:vAlign w:val="center"/>
          </w:tcPr>
          <w:p w14:paraId="02AC0D9E">
            <w:pPr>
              <w:adjustRightInd w:val="0"/>
              <w:snapToGrid w:val="0"/>
              <w:spacing w:line="276" w:lineRule="auto"/>
              <w:jc w:val="center"/>
              <w:rPr>
                <w:color w:val="auto"/>
                <w:szCs w:val="21"/>
              </w:rPr>
            </w:pPr>
            <w:r>
              <w:rPr>
                <w:rFonts w:hint="eastAsia"/>
                <w:color w:val="auto"/>
                <w:szCs w:val="21"/>
              </w:rPr>
              <w:t>2-3</w:t>
            </w:r>
          </w:p>
        </w:tc>
        <w:tc>
          <w:tcPr>
            <w:tcW w:w="14536" w:type="dxa"/>
            <w:gridSpan w:val="10"/>
            <w:vAlign w:val="center"/>
          </w:tcPr>
          <w:p w14:paraId="2E65FDB4">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继续教育合格证明</w:t>
            </w:r>
          </w:p>
          <w:p w14:paraId="70BD7A2E">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2020年度—2024年度继续教育经人社部门验证合格</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9</w:t>
            </w:r>
            <w:r>
              <w:rPr>
                <w:rFonts w:hint="eastAsia" w:eastAsia="宋体"/>
                <w:b w:val="0"/>
                <w:bCs w:val="0"/>
                <w:color w:val="auto"/>
                <w:vertAlign w:val="baseline"/>
                <w:lang w:val="en-US" w:eastAsia="zh-CN"/>
              </w:rPr>
              <w:t>分</w:t>
            </w:r>
          </w:p>
        </w:tc>
        <w:tc>
          <w:tcPr>
            <w:tcW w:w="1200" w:type="dxa"/>
            <w:vAlign w:val="center"/>
          </w:tcPr>
          <w:p w14:paraId="7F053BD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uto"/>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color w:val="auto"/>
                <w:szCs w:val="21"/>
              </w:rPr>
            </w:pPr>
          </w:p>
        </w:tc>
        <w:tc>
          <w:tcPr>
            <w:tcW w:w="1163" w:type="dxa"/>
            <w:vAlign w:val="center"/>
          </w:tcPr>
          <w:p w14:paraId="715E06E1">
            <w:pPr>
              <w:adjustRightInd w:val="0"/>
              <w:snapToGrid w:val="0"/>
              <w:spacing w:line="276" w:lineRule="auto"/>
              <w:jc w:val="center"/>
              <w:rPr>
                <w:color w:val="auto"/>
                <w:szCs w:val="21"/>
              </w:rPr>
            </w:pPr>
            <w:r>
              <w:rPr>
                <w:rFonts w:hint="eastAsia"/>
                <w:color w:val="auto"/>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无</w:t>
            </w:r>
          </w:p>
        </w:tc>
        <w:tc>
          <w:tcPr>
            <w:tcW w:w="1200" w:type="dxa"/>
            <w:vAlign w:val="center"/>
          </w:tcPr>
          <w:p w14:paraId="3314DA1D">
            <w:pPr>
              <w:adjustRightInd w:val="0"/>
              <w:snapToGrid w:val="0"/>
              <w:spacing w:line="276" w:lineRule="auto"/>
              <w:jc w:val="center"/>
              <w:rPr>
                <w:color w:val="auto"/>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uto"/>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color w:val="auto"/>
                <w:szCs w:val="21"/>
              </w:rPr>
            </w:pPr>
            <w:r>
              <w:rPr>
                <w:rFonts w:hint="eastAsia"/>
                <w:b/>
                <w:color w:val="auto"/>
                <w:szCs w:val="21"/>
              </w:rPr>
              <w:t>3.教育教学</w:t>
            </w:r>
          </w:p>
        </w:tc>
        <w:tc>
          <w:tcPr>
            <w:tcW w:w="1163" w:type="dxa"/>
            <w:vAlign w:val="center"/>
          </w:tcPr>
          <w:p w14:paraId="5F662759">
            <w:pPr>
              <w:adjustRightInd w:val="0"/>
              <w:snapToGrid w:val="0"/>
              <w:spacing w:line="276" w:lineRule="auto"/>
              <w:jc w:val="center"/>
              <w:rPr>
                <w:rFonts w:hint="eastAsia"/>
                <w:color w:val="auto"/>
                <w:szCs w:val="21"/>
              </w:rPr>
            </w:pPr>
            <w:r>
              <w:rPr>
                <w:rFonts w:hint="eastAsia"/>
                <w:color w:val="auto"/>
                <w:szCs w:val="21"/>
              </w:rPr>
              <w:t>3-1</w:t>
            </w:r>
          </w:p>
          <w:p w14:paraId="1A8CEE9B">
            <w:pPr>
              <w:adjustRightInd w:val="0"/>
              <w:snapToGrid w:val="0"/>
              <w:spacing w:line="276" w:lineRule="auto"/>
              <w:jc w:val="center"/>
              <w:rPr>
                <w:rFonts w:hint="eastAsia"/>
                <w:color w:val="auto"/>
                <w:szCs w:val="21"/>
              </w:rPr>
            </w:pPr>
            <w:r>
              <w:rPr>
                <w:rFonts w:hint="eastAsia"/>
                <w:color w:val="auto"/>
                <w:sz w:val="20"/>
                <w:szCs w:val="20"/>
                <w:lang w:eastAsia="zh-CN"/>
              </w:rPr>
              <w:t>（</w:t>
            </w:r>
            <w:r>
              <w:rPr>
                <w:rFonts w:hint="eastAsia"/>
                <w:color w:val="auto"/>
                <w:sz w:val="15"/>
                <w:szCs w:val="15"/>
                <w:lang w:val="en-US" w:eastAsia="zh-CN"/>
              </w:rPr>
              <w:t>满分10分）</w:t>
            </w:r>
          </w:p>
        </w:tc>
        <w:tc>
          <w:tcPr>
            <w:tcW w:w="14536" w:type="dxa"/>
            <w:gridSpan w:val="10"/>
            <w:vAlign w:val="center"/>
          </w:tcPr>
          <w:p w14:paraId="7935B27B">
            <w:pPr>
              <w:adjustRightInd w:val="0"/>
              <w:snapToGrid w:val="0"/>
              <w:spacing w:line="276" w:lineRule="auto"/>
              <w:rPr>
                <w:color w:val="auto"/>
                <w:szCs w:val="21"/>
              </w:rPr>
            </w:pPr>
            <w:r>
              <w:rPr>
                <w:rFonts w:hint="eastAsia"/>
                <w:color w:val="auto"/>
                <w:szCs w:val="21"/>
              </w:rPr>
              <w:t>2020年9月至2021年7月，课时</w:t>
            </w:r>
            <w:r>
              <w:rPr>
                <w:rFonts w:hint="eastAsia"/>
                <w:color w:val="auto"/>
                <w:szCs w:val="21"/>
                <w:lang w:val="en-US" w:eastAsia="zh-CN"/>
              </w:rPr>
              <w:t>412</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320课时</w:t>
            </w:r>
            <w:r>
              <w:rPr>
                <w:rFonts w:hint="eastAsia"/>
                <w:color w:val="auto"/>
                <w:szCs w:val="21"/>
              </w:rPr>
              <w:t>，实践教学</w:t>
            </w:r>
            <w:r>
              <w:rPr>
                <w:rFonts w:hint="eastAsia"/>
                <w:color w:val="auto"/>
                <w:szCs w:val="21"/>
                <w:lang w:val="en-US" w:eastAsia="zh-CN"/>
              </w:rPr>
              <w:t>时量92课时）</w:t>
            </w:r>
          </w:p>
          <w:p w14:paraId="1FB253B9">
            <w:pPr>
              <w:adjustRightInd w:val="0"/>
              <w:snapToGrid w:val="0"/>
              <w:spacing w:line="276" w:lineRule="auto"/>
              <w:rPr>
                <w:rFonts w:hint="eastAsia"/>
                <w:color w:val="auto"/>
                <w:szCs w:val="21"/>
                <w:lang w:val="en-US" w:eastAsia="zh-CN"/>
              </w:rPr>
            </w:pPr>
            <w:r>
              <w:rPr>
                <w:rFonts w:hint="eastAsia"/>
                <w:color w:val="auto"/>
                <w:szCs w:val="21"/>
              </w:rPr>
              <w:t>2021年9月至2022年7月</w:t>
            </w:r>
            <w:r>
              <w:rPr>
                <w:rFonts w:hint="eastAsia"/>
                <w:color w:val="auto"/>
                <w:szCs w:val="21"/>
                <w:lang w:eastAsia="zh-CN"/>
              </w:rPr>
              <w:t>，</w:t>
            </w:r>
            <w:r>
              <w:rPr>
                <w:rFonts w:hint="eastAsia"/>
                <w:color w:val="auto"/>
                <w:szCs w:val="21"/>
              </w:rPr>
              <w:t>课时</w:t>
            </w:r>
            <w:r>
              <w:rPr>
                <w:rFonts w:hint="eastAsia"/>
                <w:color w:val="auto"/>
                <w:szCs w:val="21"/>
                <w:lang w:val="en-US" w:eastAsia="zh-CN"/>
              </w:rPr>
              <w:t>400</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400课时）</w:t>
            </w:r>
          </w:p>
          <w:p w14:paraId="31036B99">
            <w:pPr>
              <w:adjustRightInd w:val="0"/>
              <w:snapToGrid w:val="0"/>
              <w:spacing w:line="276" w:lineRule="auto"/>
              <w:rPr>
                <w:rFonts w:hint="eastAsia"/>
                <w:color w:val="auto"/>
                <w:szCs w:val="21"/>
                <w:lang w:val="en-US" w:eastAsia="zh-CN"/>
              </w:rPr>
            </w:pPr>
            <w:r>
              <w:rPr>
                <w:rFonts w:hint="eastAsia"/>
                <w:color w:val="auto"/>
                <w:szCs w:val="21"/>
              </w:rPr>
              <w:t>20</w:t>
            </w:r>
            <w:r>
              <w:rPr>
                <w:rFonts w:hint="eastAsia"/>
                <w:color w:val="auto"/>
                <w:szCs w:val="21"/>
                <w:lang w:val="en-US" w:eastAsia="zh-CN"/>
              </w:rPr>
              <w:t>22</w:t>
            </w:r>
            <w:r>
              <w:rPr>
                <w:rFonts w:hint="eastAsia"/>
                <w:color w:val="auto"/>
                <w:szCs w:val="21"/>
              </w:rPr>
              <w:t>年9月至</w:t>
            </w:r>
            <w:r>
              <w:rPr>
                <w:rFonts w:hint="eastAsia"/>
                <w:color w:val="auto"/>
                <w:szCs w:val="21"/>
                <w:lang w:val="en-US" w:eastAsia="zh-CN"/>
              </w:rPr>
              <w:t>2023</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400</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400课时）</w:t>
            </w:r>
          </w:p>
          <w:p w14:paraId="2E137F02">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23</w:t>
            </w:r>
            <w:r>
              <w:rPr>
                <w:rFonts w:hint="eastAsia"/>
                <w:color w:val="auto"/>
                <w:szCs w:val="21"/>
              </w:rPr>
              <w:t>年9月至</w:t>
            </w:r>
            <w:r>
              <w:rPr>
                <w:rFonts w:hint="eastAsia"/>
                <w:color w:val="auto"/>
                <w:szCs w:val="21"/>
                <w:lang w:val="en-US" w:eastAsia="zh-CN"/>
              </w:rPr>
              <w:t>2024</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400</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360课时</w:t>
            </w:r>
            <w:r>
              <w:rPr>
                <w:rFonts w:hint="eastAsia"/>
                <w:color w:val="auto"/>
                <w:szCs w:val="21"/>
              </w:rPr>
              <w:t>，实践教学</w:t>
            </w:r>
            <w:r>
              <w:rPr>
                <w:rFonts w:hint="eastAsia"/>
                <w:color w:val="auto"/>
                <w:szCs w:val="21"/>
                <w:lang w:val="en-US" w:eastAsia="zh-CN"/>
              </w:rPr>
              <w:t>时量40课时）</w:t>
            </w:r>
          </w:p>
          <w:p w14:paraId="4BD7E322">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24</w:t>
            </w:r>
            <w:r>
              <w:rPr>
                <w:rFonts w:hint="eastAsia"/>
                <w:color w:val="auto"/>
                <w:szCs w:val="21"/>
              </w:rPr>
              <w:t>年9月至202</w:t>
            </w:r>
            <w:r>
              <w:rPr>
                <w:rFonts w:hint="eastAsia"/>
                <w:color w:val="auto"/>
                <w:szCs w:val="21"/>
                <w:lang w:val="en-US" w:eastAsia="zh-CN"/>
              </w:rPr>
              <w:t>5</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400</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400课时）</w:t>
            </w:r>
          </w:p>
        </w:tc>
        <w:tc>
          <w:tcPr>
            <w:tcW w:w="1200" w:type="dxa"/>
            <w:vAlign w:val="center"/>
          </w:tcPr>
          <w:p w14:paraId="27122FC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4EEBB836">
            <w:pPr>
              <w:adjustRightInd w:val="0"/>
              <w:snapToGrid w:val="0"/>
              <w:spacing w:line="276" w:lineRule="auto"/>
              <w:jc w:val="center"/>
              <w:rPr>
                <w:rFonts w:hint="default" w:eastAsia="宋体"/>
                <w:color w:val="auto"/>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color w:val="auto"/>
                <w:szCs w:val="21"/>
              </w:rPr>
            </w:pPr>
          </w:p>
        </w:tc>
        <w:tc>
          <w:tcPr>
            <w:tcW w:w="1163" w:type="dxa"/>
            <w:vAlign w:val="center"/>
          </w:tcPr>
          <w:p w14:paraId="4BFFF089">
            <w:pPr>
              <w:adjustRightInd w:val="0"/>
              <w:snapToGrid w:val="0"/>
              <w:spacing w:line="276" w:lineRule="auto"/>
              <w:jc w:val="center"/>
              <w:rPr>
                <w:rFonts w:hint="eastAsia"/>
                <w:color w:val="auto"/>
                <w:szCs w:val="21"/>
              </w:rPr>
            </w:pPr>
            <w:r>
              <w:rPr>
                <w:rFonts w:hint="eastAsia"/>
                <w:color w:val="auto"/>
                <w:szCs w:val="21"/>
              </w:rPr>
              <w:t>3-2-1</w:t>
            </w:r>
          </w:p>
          <w:p w14:paraId="4888F007">
            <w:pPr>
              <w:adjustRightInd w:val="0"/>
              <w:snapToGrid w:val="0"/>
              <w:spacing w:line="276" w:lineRule="auto"/>
              <w:jc w:val="center"/>
              <w:rPr>
                <w:rFonts w:hint="eastAsia"/>
                <w:color w:val="auto"/>
                <w:szCs w:val="21"/>
                <w:lang w:eastAsia="zh-CN"/>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40512CF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鼓励长期一线执教量化计分</w:t>
            </w:r>
          </w:p>
          <w:p w14:paraId="12CC91EF">
            <w:pPr>
              <w:adjustRightInd w:val="0"/>
              <w:snapToGrid w:val="0"/>
              <w:spacing w:line="276" w:lineRule="auto"/>
              <w:rPr>
                <w:rFonts w:hint="default"/>
                <w:color w:val="auto"/>
                <w:szCs w:val="21"/>
                <w:lang w:val="en-US" w:eastAsia="zh-CN"/>
              </w:rPr>
            </w:pPr>
            <w:r>
              <w:rPr>
                <w:rFonts w:hint="eastAsia"/>
                <w:b w:val="0"/>
                <w:bCs w:val="0"/>
                <w:color w:val="auto"/>
                <w:vertAlign w:val="baseline"/>
                <w:lang w:val="en-US" w:eastAsia="zh-CN"/>
              </w:rPr>
              <w:t>2007年10月至2011年12月，武冈师范学校从事中师语文教学，.满4年，2012年1月至今，邵阳开放大学从事开放教育教学，满13年，共计18年，计5分；</w:t>
            </w:r>
          </w:p>
        </w:tc>
        <w:tc>
          <w:tcPr>
            <w:tcW w:w="1200" w:type="dxa"/>
            <w:vAlign w:val="center"/>
          </w:tcPr>
          <w:p w14:paraId="594719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uto"/>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color w:val="auto"/>
                <w:szCs w:val="21"/>
              </w:rPr>
            </w:pPr>
          </w:p>
        </w:tc>
        <w:tc>
          <w:tcPr>
            <w:tcW w:w="1163" w:type="dxa"/>
            <w:vAlign w:val="center"/>
          </w:tcPr>
          <w:p w14:paraId="20DBC6F4">
            <w:pPr>
              <w:adjustRightInd w:val="0"/>
              <w:snapToGrid w:val="0"/>
              <w:spacing w:line="276" w:lineRule="auto"/>
              <w:jc w:val="center"/>
              <w:rPr>
                <w:rFonts w:hint="eastAsia"/>
                <w:color w:val="auto"/>
                <w:szCs w:val="21"/>
              </w:rPr>
            </w:pPr>
            <w:r>
              <w:rPr>
                <w:rFonts w:hint="eastAsia"/>
                <w:color w:val="auto"/>
                <w:szCs w:val="21"/>
              </w:rPr>
              <w:t>3-2-2</w:t>
            </w:r>
          </w:p>
          <w:p w14:paraId="622794BB">
            <w:pPr>
              <w:adjustRightInd w:val="0"/>
              <w:snapToGrid w:val="0"/>
              <w:spacing w:line="276" w:lineRule="auto"/>
              <w:jc w:val="center"/>
              <w:rPr>
                <w:rFonts w:hint="eastAsia"/>
                <w:color w:val="auto"/>
                <w:szCs w:val="21"/>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color w:val="auto"/>
                <w:vertAlign w:val="baseline"/>
                <w:lang w:val="en-US" w:eastAsia="zh-CN"/>
              </w:rPr>
            </w:pPr>
            <w:r>
              <w:rPr>
                <w:rFonts w:hint="eastAsia"/>
                <w:b w:val="0"/>
                <w:bCs w:val="0"/>
                <w:color w:val="auto"/>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color w:val="auto"/>
                <w:szCs w:val="21"/>
              </w:rPr>
            </w:pP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uto"/>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color w:val="auto"/>
                <w:szCs w:val="21"/>
              </w:rPr>
            </w:pPr>
          </w:p>
        </w:tc>
        <w:tc>
          <w:tcPr>
            <w:tcW w:w="1163" w:type="dxa"/>
            <w:vAlign w:val="center"/>
          </w:tcPr>
          <w:p w14:paraId="7B1C59E2">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3-3</w:t>
            </w:r>
          </w:p>
        </w:tc>
        <w:tc>
          <w:tcPr>
            <w:tcW w:w="14536" w:type="dxa"/>
            <w:gridSpan w:val="10"/>
            <w:vAlign w:val="center"/>
          </w:tcPr>
          <w:p w14:paraId="39EA083E">
            <w:pPr>
              <w:adjustRightInd w:val="0"/>
              <w:snapToGrid w:val="0"/>
              <w:spacing w:line="276" w:lineRule="auto"/>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无</w:t>
            </w:r>
          </w:p>
        </w:tc>
        <w:tc>
          <w:tcPr>
            <w:tcW w:w="1200" w:type="dxa"/>
            <w:vAlign w:val="center"/>
          </w:tcPr>
          <w:p w14:paraId="5ED2C39F">
            <w:pPr>
              <w:adjustRightInd w:val="0"/>
              <w:snapToGrid w:val="0"/>
              <w:spacing w:line="276" w:lineRule="auto"/>
              <w:jc w:val="center"/>
              <w:rPr>
                <w:rFonts w:hint="eastAsia" w:eastAsia="宋体"/>
                <w:color w:val="auto"/>
                <w:szCs w:val="21"/>
                <w:lang w:val="en-US" w:eastAsia="zh-CN"/>
              </w:rPr>
            </w:pP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rFonts w:hint="default"/>
                <w:color w:val="auto"/>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color w:val="auto"/>
                <w:szCs w:val="21"/>
              </w:rPr>
            </w:pPr>
          </w:p>
        </w:tc>
        <w:tc>
          <w:tcPr>
            <w:tcW w:w="1163" w:type="dxa"/>
            <w:vAlign w:val="center"/>
          </w:tcPr>
          <w:p w14:paraId="740BBFA7">
            <w:pPr>
              <w:adjustRightInd w:val="0"/>
              <w:snapToGrid w:val="0"/>
              <w:spacing w:line="276" w:lineRule="auto"/>
              <w:jc w:val="center"/>
              <w:rPr>
                <w:rFonts w:hint="default"/>
                <w:color w:val="auto"/>
                <w:szCs w:val="21"/>
                <w:lang w:val="en-US"/>
              </w:rPr>
            </w:pPr>
            <w:r>
              <w:rPr>
                <w:rFonts w:hint="eastAsia"/>
                <w:color w:val="auto"/>
                <w:szCs w:val="21"/>
              </w:rPr>
              <w:t>3-</w:t>
            </w:r>
            <w:r>
              <w:rPr>
                <w:rFonts w:hint="eastAsia"/>
                <w:color w:val="auto"/>
                <w:szCs w:val="21"/>
                <w:lang w:val="en-US" w:eastAsia="zh-CN"/>
              </w:rPr>
              <w:t>4-1</w:t>
            </w:r>
          </w:p>
        </w:tc>
        <w:tc>
          <w:tcPr>
            <w:tcW w:w="14536" w:type="dxa"/>
            <w:gridSpan w:val="10"/>
            <w:vAlign w:val="center"/>
          </w:tcPr>
          <w:p w14:paraId="32BECF88">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auto"/>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uto"/>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color w:val="auto"/>
                <w:szCs w:val="21"/>
              </w:rPr>
            </w:pPr>
          </w:p>
        </w:tc>
        <w:tc>
          <w:tcPr>
            <w:tcW w:w="1163" w:type="dxa"/>
            <w:vAlign w:val="center"/>
          </w:tcPr>
          <w:p w14:paraId="4000A22C">
            <w:pPr>
              <w:adjustRightInd w:val="0"/>
              <w:snapToGrid w:val="0"/>
              <w:spacing w:line="276" w:lineRule="auto"/>
              <w:jc w:val="center"/>
              <w:rPr>
                <w:color w:val="auto"/>
                <w:szCs w:val="21"/>
              </w:rPr>
            </w:pPr>
            <w:r>
              <w:rPr>
                <w:rFonts w:hint="eastAsia"/>
                <w:color w:val="auto"/>
                <w:szCs w:val="21"/>
              </w:rPr>
              <w:t>3-</w:t>
            </w:r>
            <w:r>
              <w:rPr>
                <w:rFonts w:hint="eastAsia"/>
                <w:color w:val="auto"/>
                <w:szCs w:val="21"/>
                <w:lang w:val="en-US" w:eastAsia="zh-CN"/>
              </w:rPr>
              <w:t>4</w:t>
            </w:r>
            <w:r>
              <w:rPr>
                <w:rFonts w:hint="eastAsia"/>
                <w:color w:val="auto"/>
                <w:szCs w:val="21"/>
              </w:rPr>
              <w:t>-2</w:t>
            </w:r>
          </w:p>
        </w:tc>
        <w:tc>
          <w:tcPr>
            <w:tcW w:w="14536" w:type="dxa"/>
            <w:gridSpan w:val="10"/>
            <w:vAlign w:val="center"/>
          </w:tcPr>
          <w:p w14:paraId="5C54E11E">
            <w:pPr>
              <w:adjustRightInd w:val="0"/>
              <w:snapToGrid w:val="0"/>
              <w:spacing w:line="276" w:lineRule="auto"/>
              <w:rPr>
                <w:rFonts w:hint="default"/>
                <w:b/>
                <w:bCs/>
                <w:color w:val="auto"/>
                <w:szCs w:val="21"/>
                <w:lang w:val="en-US"/>
              </w:rPr>
            </w:pPr>
            <w:r>
              <w:rPr>
                <w:rFonts w:hint="eastAsia"/>
                <w:color w:val="auto"/>
                <w:szCs w:val="21"/>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color w:val="auto"/>
                <w:szCs w:val="21"/>
                <w:lang w:val="en-US" w:eastAsia="zh-CN"/>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uto"/>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color w:val="auto"/>
                <w:szCs w:val="21"/>
              </w:rPr>
            </w:pPr>
          </w:p>
        </w:tc>
        <w:tc>
          <w:tcPr>
            <w:tcW w:w="1163" w:type="dxa"/>
            <w:vAlign w:val="center"/>
          </w:tcPr>
          <w:p w14:paraId="5654808A">
            <w:pPr>
              <w:adjustRightInd w:val="0"/>
              <w:snapToGrid w:val="0"/>
              <w:spacing w:line="276" w:lineRule="auto"/>
              <w:jc w:val="center"/>
              <w:rPr>
                <w:rFonts w:hint="default" w:eastAsia="宋体"/>
                <w:color w:val="auto"/>
                <w:szCs w:val="21"/>
                <w:lang w:val="en-US" w:eastAsia="zh-CN"/>
              </w:rPr>
            </w:pPr>
            <w:r>
              <w:rPr>
                <w:rFonts w:hint="eastAsia"/>
                <w:color w:val="auto"/>
                <w:szCs w:val="21"/>
              </w:rPr>
              <w:t>3-4</w:t>
            </w:r>
            <w:r>
              <w:rPr>
                <w:rFonts w:hint="eastAsia"/>
                <w:color w:val="auto"/>
                <w:szCs w:val="21"/>
                <w:lang w:val="en-US" w:eastAsia="zh-CN"/>
              </w:rPr>
              <w:t>-3</w:t>
            </w:r>
          </w:p>
        </w:tc>
        <w:tc>
          <w:tcPr>
            <w:tcW w:w="14536" w:type="dxa"/>
            <w:gridSpan w:val="10"/>
            <w:vAlign w:val="center"/>
          </w:tcPr>
          <w:p w14:paraId="4FC1C855">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2DE37CEA">
            <w:pPr>
              <w:adjustRightInd w:val="0"/>
              <w:snapToGrid w:val="0"/>
              <w:spacing w:line="276" w:lineRule="auto"/>
              <w:jc w:val="center"/>
              <w:rPr>
                <w:color w:val="auto"/>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uto"/>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color w:val="auto"/>
                <w:szCs w:val="21"/>
              </w:rPr>
            </w:pPr>
          </w:p>
        </w:tc>
        <w:tc>
          <w:tcPr>
            <w:tcW w:w="1163" w:type="dxa"/>
            <w:vAlign w:val="center"/>
          </w:tcPr>
          <w:p w14:paraId="75AB3C1F">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-4</w:t>
            </w:r>
          </w:p>
        </w:tc>
        <w:tc>
          <w:tcPr>
            <w:tcW w:w="14536" w:type="dxa"/>
            <w:gridSpan w:val="10"/>
            <w:vAlign w:val="center"/>
          </w:tcPr>
          <w:p w14:paraId="3FBA204E">
            <w:pPr>
              <w:adjustRightInd w:val="0"/>
              <w:snapToGrid w:val="0"/>
              <w:spacing w:line="276" w:lineRule="auto"/>
              <w:rPr>
                <w:rFonts w:hint="default"/>
                <w:color w:val="auto"/>
                <w:szCs w:val="21"/>
                <w:lang w:val="en-US" w:eastAsia="zh-CN"/>
              </w:rPr>
            </w:pPr>
            <w:r>
              <w:rPr>
                <w:rFonts w:hint="eastAsia"/>
                <w:color w:val="auto"/>
                <w:szCs w:val="21"/>
                <w:lang w:val="en-US" w:eastAsia="zh-CN"/>
              </w:rPr>
              <w:t>无</w:t>
            </w:r>
          </w:p>
        </w:tc>
        <w:tc>
          <w:tcPr>
            <w:tcW w:w="1200" w:type="dxa"/>
            <w:vAlign w:val="center"/>
          </w:tcPr>
          <w:p w14:paraId="2AD8D4CD">
            <w:pPr>
              <w:adjustRightInd w:val="0"/>
              <w:snapToGrid w:val="0"/>
              <w:spacing w:line="276" w:lineRule="auto"/>
              <w:jc w:val="center"/>
              <w:rPr>
                <w:color w:val="auto"/>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uto"/>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color w:val="auto"/>
                <w:szCs w:val="21"/>
              </w:rPr>
            </w:pPr>
          </w:p>
        </w:tc>
        <w:tc>
          <w:tcPr>
            <w:tcW w:w="1163" w:type="dxa"/>
            <w:vAlign w:val="center"/>
          </w:tcPr>
          <w:p w14:paraId="789674C1">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-5</w:t>
            </w:r>
          </w:p>
        </w:tc>
        <w:tc>
          <w:tcPr>
            <w:tcW w:w="14536" w:type="dxa"/>
            <w:gridSpan w:val="10"/>
            <w:vAlign w:val="center"/>
          </w:tcPr>
          <w:p w14:paraId="1AFB90F9">
            <w:pPr>
              <w:adjustRightInd w:val="0"/>
              <w:snapToGrid w:val="0"/>
              <w:spacing w:line="276" w:lineRule="auto"/>
              <w:rPr>
                <w:rFonts w:hint="default"/>
                <w:color w:val="auto"/>
                <w:szCs w:val="21"/>
                <w:lang w:val="en-US" w:eastAsia="zh-CN"/>
              </w:rPr>
            </w:pPr>
            <w:r>
              <w:rPr>
                <w:rFonts w:hint="eastAsia"/>
                <w:color w:val="auto"/>
                <w:szCs w:val="21"/>
                <w:lang w:val="en-US" w:eastAsia="zh-CN"/>
              </w:rPr>
              <w:t>无</w:t>
            </w:r>
          </w:p>
        </w:tc>
        <w:tc>
          <w:tcPr>
            <w:tcW w:w="1200" w:type="dxa"/>
            <w:vAlign w:val="center"/>
          </w:tcPr>
          <w:p w14:paraId="560F1C0D">
            <w:pPr>
              <w:adjustRightInd w:val="0"/>
              <w:snapToGrid w:val="0"/>
              <w:spacing w:line="276" w:lineRule="auto"/>
              <w:jc w:val="center"/>
              <w:rPr>
                <w:color w:val="auto"/>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uto"/>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color w:val="auto"/>
                <w:szCs w:val="21"/>
              </w:rPr>
            </w:pPr>
          </w:p>
        </w:tc>
        <w:tc>
          <w:tcPr>
            <w:tcW w:w="1163" w:type="dxa"/>
            <w:vAlign w:val="center"/>
          </w:tcPr>
          <w:p w14:paraId="1017A07C">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-6</w:t>
            </w:r>
          </w:p>
        </w:tc>
        <w:tc>
          <w:tcPr>
            <w:tcW w:w="14536" w:type="dxa"/>
            <w:gridSpan w:val="10"/>
            <w:vAlign w:val="center"/>
          </w:tcPr>
          <w:p w14:paraId="7797822E">
            <w:pPr>
              <w:adjustRightInd w:val="0"/>
              <w:snapToGrid w:val="0"/>
              <w:spacing w:line="276" w:lineRule="auto"/>
              <w:rPr>
                <w:rFonts w:hint="eastAsia"/>
                <w:color w:val="auto"/>
                <w:szCs w:val="21"/>
              </w:rPr>
            </w:pPr>
            <w:r>
              <w:rPr>
                <w:rFonts w:hint="eastAsia"/>
                <w:color w:val="auto"/>
                <w:szCs w:val="21"/>
                <w:lang w:val="en-US" w:eastAsia="zh-CN"/>
              </w:rPr>
              <w:t>无</w:t>
            </w:r>
          </w:p>
        </w:tc>
        <w:tc>
          <w:tcPr>
            <w:tcW w:w="1200" w:type="dxa"/>
            <w:vAlign w:val="center"/>
          </w:tcPr>
          <w:p w14:paraId="0D5B657C">
            <w:pPr>
              <w:adjustRightInd w:val="0"/>
              <w:snapToGrid w:val="0"/>
              <w:spacing w:line="276" w:lineRule="auto"/>
              <w:jc w:val="center"/>
              <w:rPr>
                <w:color w:val="auto"/>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uto"/>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color w:val="auto"/>
                <w:szCs w:val="21"/>
              </w:rPr>
            </w:pPr>
          </w:p>
        </w:tc>
        <w:tc>
          <w:tcPr>
            <w:tcW w:w="1163" w:type="dxa"/>
            <w:vAlign w:val="center"/>
          </w:tcPr>
          <w:p w14:paraId="64CE5DBF">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-7</w:t>
            </w:r>
          </w:p>
        </w:tc>
        <w:tc>
          <w:tcPr>
            <w:tcW w:w="14536" w:type="dxa"/>
            <w:gridSpan w:val="10"/>
            <w:vAlign w:val="center"/>
          </w:tcPr>
          <w:p w14:paraId="7845ABC6">
            <w:pPr>
              <w:adjustRightInd w:val="0"/>
              <w:snapToGrid w:val="0"/>
              <w:spacing w:line="276" w:lineRule="auto"/>
              <w:rPr>
                <w:rFonts w:hint="eastAsia"/>
                <w:color w:val="auto"/>
                <w:szCs w:val="21"/>
              </w:rPr>
            </w:pPr>
            <w:r>
              <w:rPr>
                <w:rFonts w:hint="eastAsia"/>
                <w:color w:val="auto"/>
                <w:szCs w:val="21"/>
                <w:lang w:val="en-US" w:eastAsia="zh-CN"/>
              </w:rPr>
              <w:t>无</w:t>
            </w:r>
          </w:p>
        </w:tc>
        <w:tc>
          <w:tcPr>
            <w:tcW w:w="1200" w:type="dxa"/>
            <w:vAlign w:val="center"/>
          </w:tcPr>
          <w:p w14:paraId="765863EB">
            <w:pPr>
              <w:adjustRightInd w:val="0"/>
              <w:snapToGrid w:val="0"/>
              <w:spacing w:line="276" w:lineRule="auto"/>
              <w:jc w:val="center"/>
              <w:rPr>
                <w:color w:val="auto"/>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uto"/>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color w:val="auto"/>
                <w:szCs w:val="21"/>
              </w:rPr>
            </w:pPr>
          </w:p>
        </w:tc>
        <w:tc>
          <w:tcPr>
            <w:tcW w:w="1163" w:type="dxa"/>
            <w:vAlign w:val="center"/>
          </w:tcPr>
          <w:p w14:paraId="63A71D2D">
            <w:pPr>
              <w:adjustRightInd w:val="0"/>
              <w:snapToGrid w:val="0"/>
              <w:spacing w:line="276" w:lineRule="auto"/>
              <w:jc w:val="center"/>
              <w:rPr>
                <w:rFonts w:hint="eastAsia"/>
                <w:color w:val="auto"/>
                <w:szCs w:val="21"/>
                <w:lang w:val="en-US" w:eastAsia="zh-CN"/>
              </w:rPr>
            </w:pPr>
            <w:r>
              <w:rPr>
                <w:rFonts w:hint="eastAsia"/>
                <w:color w:val="auto"/>
                <w:szCs w:val="21"/>
              </w:rPr>
              <w:t>3-4</w:t>
            </w:r>
            <w:r>
              <w:rPr>
                <w:rFonts w:hint="eastAsia"/>
                <w:color w:val="auto"/>
                <w:szCs w:val="21"/>
                <w:lang w:val="en-US" w:eastAsia="zh-CN"/>
              </w:rPr>
              <w:t>-8</w:t>
            </w:r>
          </w:p>
          <w:p w14:paraId="497C7E2E">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担任系、教研室、实验室主任情况</w:t>
            </w:r>
          </w:p>
          <w:p w14:paraId="564ED9C6">
            <w:pPr>
              <w:adjustRightInd w:val="0"/>
              <w:snapToGrid w:val="0"/>
              <w:spacing w:line="276" w:lineRule="auto"/>
              <w:rPr>
                <w:rFonts w:hint="eastAsia" w:eastAsia="宋体"/>
                <w:color w:val="auto"/>
                <w:szCs w:val="21"/>
                <w:lang w:eastAsia="zh-CN"/>
              </w:rPr>
            </w:pPr>
            <w:r>
              <w:rPr>
                <w:rFonts w:hint="eastAsia"/>
                <w:color w:val="auto"/>
                <w:szCs w:val="21"/>
                <w:lang w:eastAsia="zh-CN"/>
              </w:rPr>
              <w:t>无</w:t>
            </w:r>
          </w:p>
        </w:tc>
        <w:tc>
          <w:tcPr>
            <w:tcW w:w="1200" w:type="dxa"/>
            <w:vAlign w:val="center"/>
          </w:tcPr>
          <w:p w14:paraId="5B13E1A4">
            <w:pPr>
              <w:adjustRightInd w:val="0"/>
              <w:snapToGrid w:val="0"/>
              <w:spacing w:line="276" w:lineRule="auto"/>
              <w:jc w:val="center"/>
              <w:rPr>
                <w:color w:val="auto"/>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uto"/>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color w:val="auto"/>
                <w:szCs w:val="21"/>
              </w:rPr>
            </w:pPr>
          </w:p>
        </w:tc>
        <w:tc>
          <w:tcPr>
            <w:tcW w:w="1163" w:type="dxa"/>
            <w:vAlign w:val="center"/>
          </w:tcPr>
          <w:p w14:paraId="0F3283B4">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auto"/>
                <w:szCs w:val="21"/>
                <w:lang w:val="en-US" w:eastAsia="zh-CN"/>
              </w:rPr>
            </w:pPr>
            <w:r>
              <w:rPr>
                <w:rFonts w:hint="eastAsia"/>
                <w:color w:val="auto"/>
                <w:szCs w:val="21"/>
                <w:lang w:val="en-US" w:eastAsia="zh-CN"/>
              </w:rPr>
              <w:t>无</w:t>
            </w:r>
          </w:p>
        </w:tc>
        <w:tc>
          <w:tcPr>
            <w:tcW w:w="1200" w:type="dxa"/>
            <w:vAlign w:val="center"/>
          </w:tcPr>
          <w:p w14:paraId="04098A96">
            <w:pPr>
              <w:adjustRightInd w:val="0"/>
              <w:snapToGrid w:val="0"/>
              <w:spacing w:line="276" w:lineRule="auto"/>
              <w:jc w:val="center"/>
              <w:rPr>
                <w:color w:val="auto"/>
                <w:szCs w:val="21"/>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uto"/>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color w:val="auto"/>
                <w:szCs w:val="21"/>
              </w:rPr>
            </w:pPr>
          </w:p>
        </w:tc>
        <w:tc>
          <w:tcPr>
            <w:tcW w:w="1163" w:type="dxa"/>
            <w:vAlign w:val="center"/>
          </w:tcPr>
          <w:p w14:paraId="5A4C7E15">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3-5</w:t>
            </w:r>
          </w:p>
          <w:p w14:paraId="5E8F1590">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366429EF">
            <w:pPr>
              <w:adjustRightInd w:val="0"/>
              <w:snapToGrid w:val="0"/>
              <w:spacing w:line="276" w:lineRule="auto"/>
              <w:jc w:val="center"/>
              <w:rPr>
                <w:color w:val="auto"/>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uto"/>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color w:val="auto"/>
                <w:szCs w:val="21"/>
              </w:rPr>
            </w:pPr>
          </w:p>
        </w:tc>
        <w:tc>
          <w:tcPr>
            <w:tcW w:w="1163" w:type="dxa"/>
            <w:vMerge w:val="restart"/>
            <w:vAlign w:val="center"/>
          </w:tcPr>
          <w:p w14:paraId="419CB715">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3-6</w:t>
            </w:r>
          </w:p>
          <w:p w14:paraId="159289D3">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rPr>
                <w:rFonts w:hint="eastAsia" w:eastAsia="宋体"/>
                <w:color w:val="auto"/>
                <w:szCs w:val="21"/>
                <w:lang w:eastAsia="zh-CN"/>
              </w:rPr>
            </w:pPr>
            <w:r>
              <w:rPr>
                <w:rFonts w:hint="eastAsia"/>
                <w:color w:val="auto"/>
                <w:szCs w:val="21"/>
                <w:lang w:eastAsia="zh-CN"/>
              </w:rPr>
              <w:t>无</w:t>
            </w:r>
          </w:p>
        </w:tc>
        <w:tc>
          <w:tcPr>
            <w:tcW w:w="1200" w:type="dxa"/>
            <w:vAlign w:val="center"/>
          </w:tcPr>
          <w:p w14:paraId="15CE25DF">
            <w:pPr>
              <w:adjustRightInd w:val="0"/>
              <w:snapToGrid w:val="0"/>
              <w:spacing w:line="276" w:lineRule="auto"/>
              <w:jc w:val="center"/>
              <w:rPr>
                <w:color w:val="auto"/>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uto"/>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color w:val="auto"/>
                <w:szCs w:val="21"/>
              </w:rPr>
            </w:pPr>
          </w:p>
        </w:tc>
        <w:tc>
          <w:tcPr>
            <w:tcW w:w="1163" w:type="dxa"/>
            <w:vMerge w:val="continue"/>
            <w:vAlign w:val="center"/>
          </w:tcPr>
          <w:p w14:paraId="0EC9BFDA">
            <w:pPr>
              <w:adjustRightInd w:val="0"/>
              <w:snapToGrid w:val="0"/>
              <w:spacing w:line="276" w:lineRule="auto"/>
              <w:jc w:val="center"/>
              <w:rPr>
                <w:color w:val="auto"/>
                <w:szCs w:val="21"/>
              </w:rPr>
            </w:pPr>
          </w:p>
        </w:tc>
        <w:tc>
          <w:tcPr>
            <w:tcW w:w="14536" w:type="dxa"/>
            <w:gridSpan w:val="10"/>
            <w:vAlign w:val="center"/>
          </w:tcPr>
          <w:p w14:paraId="2278B36C">
            <w:pPr>
              <w:adjustRightInd w:val="0"/>
              <w:snapToGrid w:val="0"/>
              <w:spacing w:line="276" w:lineRule="auto"/>
              <w:rPr>
                <w:rFonts w:hint="eastAsia" w:eastAsia="宋体"/>
                <w:color w:val="auto"/>
                <w:szCs w:val="21"/>
                <w:lang w:eastAsia="zh-CN"/>
              </w:rPr>
            </w:pPr>
            <w:r>
              <w:rPr>
                <w:rFonts w:hint="eastAsia"/>
                <w:color w:val="auto"/>
                <w:szCs w:val="21"/>
                <w:lang w:eastAsia="zh-CN"/>
              </w:rPr>
              <w:t>无</w:t>
            </w:r>
          </w:p>
        </w:tc>
        <w:tc>
          <w:tcPr>
            <w:tcW w:w="1200" w:type="dxa"/>
            <w:vAlign w:val="center"/>
          </w:tcPr>
          <w:p w14:paraId="45C5967A">
            <w:pPr>
              <w:adjustRightInd w:val="0"/>
              <w:snapToGrid w:val="0"/>
              <w:spacing w:line="276" w:lineRule="auto"/>
              <w:jc w:val="center"/>
              <w:rPr>
                <w:color w:val="auto"/>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uto"/>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color w:val="auto"/>
                <w:szCs w:val="21"/>
              </w:rPr>
            </w:pPr>
          </w:p>
        </w:tc>
        <w:tc>
          <w:tcPr>
            <w:tcW w:w="1163" w:type="dxa"/>
            <w:vMerge w:val="continue"/>
            <w:vAlign w:val="center"/>
          </w:tcPr>
          <w:p w14:paraId="2E2EFC13">
            <w:pPr>
              <w:adjustRightInd w:val="0"/>
              <w:snapToGrid w:val="0"/>
              <w:spacing w:line="276" w:lineRule="auto"/>
              <w:jc w:val="center"/>
              <w:rPr>
                <w:rFonts w:hint="eastAsia"/>
                <w:color w:val="auto"/>
                <w:szCs w:val="21"/>
              </w:rPr>
            </w:pPr>
          </w:p>
        </w:tc>
        <w:tc>
          <w:tcPr>
            <w:tcW w:w="14536" w:type="dxa"/>
            <w:gridSpan w:val="10"/>
            <w:vAlign w:val="center"/>
          </w:tcPr>
          <w:p w14:paraId="25EF2669">
            <w:pPr>
              <w:adjustRightInd w:val="0"/>
              <w:snapToGrid w:val="0"/>
              <w:spacing w:line="276" w:lineRule="auto"/>
              <w:rPr>
                <w:rFonts w:hint="eastAsia" w:eastAsia="宋体"/>
                <w:color w:val="auto"/>
                <w:szCs w:val="21"/>
                <w:lang w:eastAsia="zh-CN"/>
              </w:rPr>
            </w:pPr>
            <w:r>
              <w:rPr>
                <w:rFonts w:hint="eastAsia"/>
                <w:color w:val="auto"/>
                <w:szCs w:val="21"/>
                <w:lang w:eastAsia="zh-CN"/>
              </w:rPr>
              <w:t>无</w:t>
            </w:r>
          </w:p>
        </w:tc>
        <w:tc>
          <w:tcPr>
            <w:tcW w:w="1200" w:type="dxa"/>
            <w:vAlign w:val="center"/>
          </w:tcPr>
          <w:p w14:paraId="39227B63">
            <w:pPr>
              <w:adjustRightInd w:val="0"/>
              <w:snapToGrid w:val="0"/>
              <w:spacing w:line="276" w:lineRule="auto"/>
              <w:jc w:val="center"/>
              <w:rPr>
                <w:color w:val="auto"/>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uto"/>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color w:val="auto"/>
                <w:szCs w:val="21"/>
              </w:rPr>
            </w:pPr>
          </w:p>
        </w:tc>
        <w:tc>
          <w:tcPr>
            <w:tcW w:w="1163" w:type="dxa"/>
            <w:vMerge w:val="continue"/>
            <w:vAlign w:val="center"/>
          </w:tcPr>
          <w:p w14:paraId="40D3FD72">
            <w:pPr>
              <w:adjustRightInd w:val="0"/>
              <w:snapToGrid w:val="0"/>
              <w:spacing w:line="276" w:lineRule="auto"/>
              <w:jc w:val="center"/>
              <w:rPr>
                <w:rFonts w:hint="eastAsia" w:eastAsia="宋体"/>
                <w:color w:val="auto"/>
                <w:szCs w:val="21"/>
                <w:lang w:val="en-US" w:eastAsia="zh-CN"/>
              </w:rPr>
            </w:pPr>
          </w:p>
        </w:tc>
        <w:tc>
          <w:tcPr>
            <w:tcW w:w="14536" w:type="dxa"/>
            <w:gridSpan w:val="10"/>
            <w:vAlign w:val="center"/>
          </w:tcPr>
          <w:p w14:paraId="012DCCF1">
            <w:pPr>
              <w:adjustRightInd w:val="0"/>
              <w:snapToGrid w:val="0"/>
              <w:spacing w:line="276" w:lineRule="auto"/>
              <w:rPr>
                <w:rFonts w:hint="eastAsia" w:eastAsia="宋体"/>
                <w:color w:val="auto"/>
                <w:szCs w:val="21"/>
                <w:lang w:eastAsia="zh-CN"/>
              </w:rPr>
            </w:pPr>
            <w:r>
              <w:rPr>
                <w:rFonts w:hint="eastAsia"/>
                <w:color w:val="auto"/>
                <w:szCs w:val="21"/>
                <w:lang w:eastAsia="zh-CN"/>
              </w:rPr>
              <w:t>无</w:t>
            </w:r>
          </w:p>
        </w:tc>
        <w:tc>
          <w:tcPr>
            <w:tcW w:w="1200" w:type="dxa"/>
            <w:vAlign w:val="center"/>
          </w:tcPr>
          <w:p w14:paraId="67755DF1">
            <w:pPr>
              <w:adjustRightInd w:val="0"/>
              <w:snapToGrid w:val="0"/>
              <w:spacing w:line="276" w:lineRule="auto"/>
              <w:jc w:val="center"/>
              <w:rPr>
                <w:color w:val="auto"/>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uto"/>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color w:val="auto"/>
                <w:szCs w:val="21"/>
              </w:rPr>
            </w:pPr>
          </w:p>
        </w:tc>
        <w:tc>
          <w:tcPr>
            <w:tcW w:w="1163" w:type="dxa"/>
            <w:vAlign w:val="center"/>
          </w:tcPr>
          <w:p w14:paraId="66F924DF">
            <w:pPr>
              <w:adjustRightInd w:val="0"/>
              <w:snapToGrid w:val="0"/>
              <w:spacing w:line="276" w:lineRule="auto"/>
              <w:jc w:val="center"/>
              <w:rPr>
                <w:color w:val="auto"/>
                <w:szCs w:val="21"/>
              </w:rPr>
            </w:pPr>
            <w:r>
              <w:rPr>
                <w:rFonts w:hint="eastAsia"/>
                <w:color w:val="auto"/>
                <w:szCs w:val="21"/>
              </w:rPr>
              <w:t>3-7</w:t>
            </w:r>
          </w:p>
        </w:tc>
        <w:tc>
          <w:tcPr>
            <w:tcW w:w="14536" w:type="dxa"/>
            <w:gridSpan w:val="10"/>
            <w:vAlign w:val="center"/>
          </w:tcPr>
          <w:p w14:paraId="4E9A9FA1">
            <w:pPr>
              <w:adjustRightInd w:val="0"/>
              <w:snapToGrid w:val="0"/>
              <w:spacing w:line="276" w:lineRule="auto"/>
              <w:rPr>
                <w:color w:val="auto"/>
                <w:szCs w:val="21"/>
              </w:rPr>
            </w:pPr>
            <w:r>
              <w:rPr>
                <w:rFonts w:hint="eastAsia" w:eastAsia="宋体"/>
                <w:color w:val="auto"/>
                <w:szCs w:val="21"/>
                <w:lang w:val="en-US" w:eastAsia="zh-CN"/>
              </w:rPr>
              <w:t>教案由专家现场评审，此项不需自评。</w:t>
            </w:r>
          </w:p>
        </w:tc>
        <w:tc>
          <w:tcPr>
            <w:tcW w:w="1200" w:type="dxa"/>
            <w:vAlign w:val="center"/>
          </w:tcPr>
          <w:p w14:paraId="47AE67E0">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uto"/>
                <w:szCs w:val="21"/>
              </w:rPr>
            </w:pPr>
            <w:r>
              <w:rPr>
                <w:rFonts w:hint="eastAsia"/>
                <w:color w:val="auto"/>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1" w:hRule="atLeast"/>
        </w:trPr>
        <w:tc>
          <w:tcPr>
            <w:tcW w:w="646" w:type="dxa"/>
            <w:vMerge w:val="restart"/>
            <w:vAlign w:val="center"/>
          </w:tcPr>
          <w:p w14:paraId="44C2615B">
            <w:pPr>
              <w:adjustRightInd w:val="0"/>
              <w:snapToGrid w:val="0"/>
              <w:spacing w:line="276" w:lineRule="auto"/>
              <w:jc w:val="center"/>
              <w:rPr>
                <w:b/>
                <w:color w:val="auto"/>
                <w:szCs w:val="21"/>
              </w:rPr>
            </w:pPr>
            <w:r>
              <w:rPr>
                <w:rFonts w:hint="eastAsia"/>
                <w:b/>
                <w:color w:val="auto"/>
                <w:szCs w:val="21"/>
              </w:rPr>
              <w:t>4.科研成果及业绩</w:t>
            </w:r>
          </w:p>
        </w:tc>
        <w:tc>
          <w:tcPr>
            <w:tcW w:w="1163" w:type="dxa"/>
            <w:vAlign w:val="center"/>
          </w:tcPr>
          <w:p w14:paraId="62D5468F">
            <w:pPr>
              <w:adjustRightInd w:val="0"/>
              <w:snapToGrid w:val="0"/>
              <w:spacing w:line="276" w:lineRule="auto"/>
              <w:jc w:val="center"/>
              <w:rPr>
                <w:rFonts w:hint="eastAsia"/>
                <w:color w:val="auto"/>
                <w:szCs w:val="21"/>
              </w:rPr>
            </w:pPr>
            <w:r>
              <w:rPr>
                <w:rFonts w:hint="eastAsia"/>
                <w:color w:val="auto"/>
                <w:szCs w:val="21"/>
              </w:rPr>
              <w:t>4-1</w:t>
            </w:r>
          </w:p>
          <w:p w14:paraId="33A03636">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auto"/>
                <w:szCs w:val="21"/>
                <w:lang w:val="en-US" w:eastAsia="zh-CN"/>
              </w:rPr>
              <w:t>学术期刊论文</w:t>
            </w:r>
            <w:r>
              <w:rPr>
                <w:color w:val="auto"/>
                <w:szCs w:val="21"/>
              </w:rPr>
              <w:t>（</w:t>
            </w:r>
            <w:r>
              <w:rPr>
                <w:rFonts w:hint="eastAsia"/>
                <w:color w:val="auto"/>
                <w:szCs w:val="21"/>
              </w:rPr>
              <w:t>请按量化计分细则论文分类填写）：</w:t>
            </w:r>
          </w:p>
          <w:p w14:paraId="3182E78F">
            <w:pPr>
              <w:numPr>
                <w:ilvl w:val="0"/>
                <w:numId w:val="0"/>
              </w:numPr>
              <w:jc w:val="left"/>
              <w:rPr>
                <w:rFonts w:hint="eastAsia" w:ascii="宋体" w:hAnsi="宋体" w:eastAsia="宋体" w:cs="宋体"/>
                <w:b w:val="0"/>
                <w:bCs w:val="0"/>
                <w:color w:val="auto"/>
                <w:sz w:val="21"/>
                <w:szCs w:val="21"/>
                <w:vertAlign w:val="baseline"/>
                <w:lang w:val="en-US" w:eastAsia="zh-CN"/>
              </w:rPr>
            </w:pPr>
            <w:r>
              <w:rPr>
                <w:rFonts w:hint="eastAsia" w:ascii="宋体" w:hAnsi="宋体" w:cs="宋体"/>
                <w:b w:val="0"/>
                <w:bCs w:val="0"/>
                <w:color w:val="auto"/>
                <w:sz w:val="21"/>
                <w:szCs w:val="21"/>
                <w:lang w:val="en-US" w:eastAsia="zh-CN"/>
              </w:rPr>
              <w:t>1）</w:t>
            </w:r>
            <w:r>
              <w:rPr>
                <w:rFonts w:hint="eastAsia" w:ascii="宋体" w:hAnsi="宋体" w:eastAsia="宋体" w:cs="宋体"/>
                <w:b w:val="0"/>
                <w:bCs w:val="0"/>
                <w:color w:val="auto"/>
                <w:sz w:val="21"/>
                <w:szCs w:val="21"/>
                <w:lang w:val="en-US" w:eastAsia="zh-CN"/>
              </w:rPr>
              <w:t>邵阳诗词发展脉络</w:t>
            </w:r>
            <w:r>
              <w:rPr>
                <w:rFonts w:hint="eastAsia" w:ascii="宋体" w:hAnsi="宋体" w:eastAsia="宋体" w:cs="宋体"/>
                <w:b w:val="0"/>
                <w:bCs w:val="0"/>
                <w:color w:val="auto"/>
                <w:sz w:val="21"/>
                <w:szCs w:val="21"/>
                <w:vertAlign w:val="baseline"/>
                <w:lang w:val="en-US" w:eastAsia="zh-CN"/>
              </w:rPr>
              <w:t>，邵阳学院学报（社会科学版），2020年第5期，独著，中国人文社会科学核心期刊（扩展版）、湖南高校社科优秀期刊，（代表作1）</w:t>
            </w:r>
            <w:r>
              <w:rPr>
                <w:rFonts w:hint="eastAsia" w:ascii="宋体" w:hAnsi="宋体" w:cs="宋体"/>
                <w:b w:val="0"/>
                <w:bCs w:val="0"/>
                <w:color w:val="auto"/>
                <w:sz w:val="21"/>
                <w:szCs w:val="21"/>
                <w:vertAlign w:val="baseline"/>
                <w:lang w:val="en-US" w:eastAsia="zh-CN"/>
              </w:rPr>
              <w:t>，计4分；</w:t>
            </w:r>
          </w:p>
          <w:p w14:paraId="69455ED0">
            <w:pPr>
              <w:numPr>
                <w:ilvl w:val="0"/>
                <w:numId w:val="0"/>
              </w:numPr>
              <w:ind w:leftChars="0"/>
              <w:jc w:val="left"/>
              <w:rPr>
                <w:rFonts w:hint="eastAsia" w:ascii="宋体" w:hAnsi="宋体" w:eastAsia="宋体" w:cs="宋体"/>
                <w:b w:val="0"/>
                <w:bCs w:val="0"/>
                <w:color w:val="auto"/>
                <w:sz w:val="21"/>
                <w:szCs w:val="21"/>
                <w:vertAlign w:val="baseline"/>
                <w:lang w:val="en-US" w:eastAsia="zh-CN"/>
              </w:rPr>
            </w:pPr>
            <w:r>
              <w:rPr>
                <w:rFonts w:hint="eastAsia"/>
                <w:color w:val="auto"/>
                <w:lang w:val="en-US" w:eastAsia="zh-CN"/>
              </w:rPr>
              <w:t>2）</w:t>
            </w:r>
            <w:r>
              <w:rPr>
                <w:rFonts w:hint="eastAsia"/>
                <w:color w:val="auto"/>
                <w:lang w:eastAsia="zh-CN"/>
              </w:rPr>
              <w:t>诗词中的红色基因与德育实施路径，</w:t>
            </w:r>
            <w:r>
              <w:rPr>
                <w:rFonts w:hint="eastAsia" w:ascii="宋体" w:hAnsi="宋体" w:eastAsia="宋体" w:cs="宋体"/>
                <w:b w:val="0"/>
                <w:bCs w:val="0"/>
                <w:color w:val="auto"/>
                <w:sz w:val="21"/>
                <w:szCs w:val="21"/>
                <w:vertAlign w:val="baseline"/>
                <w:lang w:val="en-US" w:eastAsia="zh-CN"/>
              </w:rPr>
              <w:t>邵阳学院学报（社会科学版），2021年第5期，独著，中国人文社会科学核心期刊（扩展版）、湖南高校社科优秀期刊，（代表作2）</w:t>
            </w:r>
            <w:r>
              <w:rPr>
                <w:rFonts w:hint="eastAsia" w:ascii="宋体" w:hAnsi="宋体" w:cs="宋体"/>
                <w:b w:val="0"/>
                <w:bCs w:val="0"/>
                <w:color w:val="auto"/>
                <w:sz w:val="21"/>
                <w:szCs w:val="21"/>
                <w:vertAlign w:val="baseline"/>
                <w:lang w:val="en-US" w:eastAsia="zh-CN"/>
              </w:rPr>
              <w:t>，计4分；</w:t>
            </w:r>
          </w:p>
          <w:p w14:paraId="1AB74A43">
            <w:pPr>
              <w:pStyle w:val="2"/>
              <w:numPr>
                <w:ilvl w:val="0"/>
                <w:numId w:val="0"/>
              </w:numPr>
              <w:ind w:leftChars="0"/>
              <w:jc w:val="left"/>
              <w:rPr>
                <w:rFonts w:hint="eastAsia"/>
                <w:color w:val="auto"/>
              </w:rPr>
            </w:pPr>
            <w:r>
              <w:rPr>
                <w:rFonts w:hint="eastAsia"/>
                <w:color w:val="auto"/>
                <w:lang w:val="en-US" w:eastAsia="zh-CN"/>
              </w:rPr>
              <w:t>3）</w:t>
            </w:r>
            <w:r>
              <w:rPr>
                <w:rFonts w:hint="eastAsia"/>
                <w:color w:val="auto"/>
              </w:rPr>
              <w:t>马少侨诗歌对历史的书写及其价值</w:t>
            </w:r>
            <w:r>
              <w:rPr>
                <w:rFonts w:hint="eastAsia"/>
                <w:color w:val="auto"/>
                <w:lang w:eastAsia="zh-CN"/>
              </w:rPr>
              <w:t>，</w:t>
            </w:r>
            <w:r>
              <w:rPr>
                <w:rFonts w:hint="eastAsia"/>
                <w:color w:val="auto"/>
              </w:rPr>
              <w:t>新西部</w:t>
            </w:r>
            <w:r>
              <w:rPr>
                <w:rFonts w:hint="eastAsia"/>
                <w:color w:val="auto"/>
                <w:lang w:eastAsia="zh-CN"/>
              </w:rPr>
              <w:t>，</w:t>
            </w:r>
            <w:r>
              <w:rPr>
                <w:rFonts w:hint="eastAsia"/>
                <w:color w:val="auto"/>
              </w:rPr>
              <w:t>2015</w:t>
            </w:r>
            <w:r>
              <w:rPr>
                <w:rFonts w:hint="eastAsia"/>
                <w:color w:val="auto"/>
                <w:lang w:eastAsia="zh-CN"/>
              </w:rPr>
              <w:t>年第</w:t>
            </w:r>
            <w:r>
              <w:rPr>
                <w:rFonts w:hint="eastAsia"/>
                <w:color w:val="auto"/>
              </w:rPr>
              <w:t>12</w:t>
            </w:r>
            <w:r>
              <w:rPr>
                <w:rFonts w:hint="eastAsia"/>
                <w:color w:val="auto"/>
                <w:lang w:eastAsia="zh-CN"/>
              </w:rPr>
              <w:t>期，排名第一，省级普刊，计</w:t>
            </w:r>
            <w:r>
              <w:rPr>
                <w:rFonts w:hint="eastAsia"/>
                <w:color w:val="auto"/>
                <w:lang w:val="en-US" w:eastAsia="zh-CN"/>
              </w:rPr>
              <w:t>2分；</w:t>
            </w:r>
          </w:p>
          <w:p w14:paraId="4F77E3EB">
            <w:pPr>
              <w:numPr>
                <w:ilvl w:val="0"/>
                <w:numId w:val="0"/>
              </w:numPr>
              <w:ind w:leftChars="0"/>
              <w:rPr>
                <w:rFonts w:hint="eastAsia"/>
                <w:color w:val="auto"/>
                <w:lang w:val="en-US" w:eastAsia="zh-CN"/>
              </w:rPr>
            </w:pPr>
            <w:r>
              <w:rPr>
                <w:rFonts w:hint="eastAsia"/>
                <w:color w:val="auto"/>
                <w:lang w:val="en-US" w:eastAsia="zh-CN"/>
              </w:rPr>
              <w:t>4）正确看待汪国真现象对文艺发展的作用，新丝路，2015年第10期，独著，省级普刊，计2分</w:t>
            </w:r>
          </w:p>
          <w:p w14:paraId="3BB20211">
            <w:pPr>
              <w:pStyle w:val="2"/>
              <w:numPr>
                <w:ilvl w:val="0"/>
                <w:numId w:val="0"/>
              </w:numPr>
              <w:ind w:leftChars="0"/>
              <w:jc w:val="left"/>
              <w:rPr>
                <w:rFonts w:hint="default"/>
                <w:color w:val="auto"/>
                <w:lang w:val="en-US"/>
              </w:rPr>
            </w:pPr>
            <w:r>
              <w:rPr>
                <w:rFonts w:hint="eastAsia"/>
                <w:color w:val="auto"/>
                <w:lang w:val="en-US" w:eastAsia="zh-CN"/>
              </w:rPr>
              <w:t>5）</w:t>
            </w:r>
            <w:r>
              <w:rPr>
                <w:rFonts w:hint="default"/>
                <w:color w:val="auto"/>
                <w:lang w:val="en-US"/>
              </w:rPr>
              <w:t>再谈现实主义文学的创作使命</w:t>
            </w:r>
            <w:r>
              <w:rPr>
                <w:rFonts w:hint="eastAsia"/>
                <w:color w:val="auto"/>
                <w:lang w:val="en-US" w:eastAsia="zh-CN"/>
              </w:rPr>
              <w:t>，</w:t>
            </w:r>
            <w:r>
              <w:rPr>
                <w:rFonts w:hint="default"/>
                <w:color w:val="auto"/>
                <w:lang w:val="en-US"/>
              </w:rPr>
              <w:t>创作与评论</w:t>
            </w:r>
            <w:r>
              <w:rPr>
                <w:rFonts w:hint="eastAsia"/>
                <w:color w:val="auto"/>
                <w:lang w:val="en-US" w:eastAsia="zh-CN"/>
              </w:rPr>
              <w:t>（现名文艺论坛），</w:t>
            </w:r>
            <w:r>
              <w:rPr>
                <w:rFonts w:hint="default"/>
                <w:color w:val="auto"/>
                <w:lang w:val="en-US"/>
              </w:rPr>
              <w:t>2012</w:t>
            </w:r>
            <w:r>
              <w:rPr>
                <w:rFonts w:hint="eastAsia"/>
                <w:color w:val="auto"/>
                <w:lang w:val="en-US" w:eastAsia="zh-CN"/>
              </w:rPr>
              <w:t>年第</w:t>
            </w:r>
            <w:r>
              <w:rPr>
                <w:rFonts w:hint="default"/>
                <w:color w:val="auto"/>
                <w:lang w:val="en-US"/>
              </w:rPr>
              <w:t>1</w:t>
            </w:r>
            <w:r>
              <w:rPr>
                <w:rFonts w:hint="eastAsia"/>
                <w:color w:val="auto"/>
                <w:lang w:val="en-US" w:eastAsia="zh-CN"/>
              </w:rPr>
              <w:t>期，独著，</w:t>
            </w:r>
            <w:r>
              <w:rPr>
                <w:rFonts w:hint="eastAsia" w:ascii="宋体" w:hAnsi="宋体" w:eastAsia="宋体" w:cs="宋体"/>
                <w:b w:val="0"/>
                <w:bCs w:val="0"/>
                <w:color w:val="auto"/>
                <w:sz w:val="21"/>
                <w:szCs w:val="21"/>
                <w:vertAlign w:val="baseline"/>
                <w:lang w:val="en-US" w:eastAsia="zh-CN"/>
              </w:rPr>
              <w:t>中国人文社会科学核心期刊（扩展版）</w:t>
            </w:r>
            <w:r>
              <w:rPr>
                <w:rFonts w:hint="eastAsia" w:ascii="宋体" w:hAnsi="宋体" w:cs="宋体"/>
                <w:b w:val="0"/>
                <w:bCs w:val="0"/>
                <w:color w:val="auto"/>
                <w:sz w:val="21"/>
                <w:szCs w:val="21"/>
                <w:vertAlign w:val="baseline"/>
                <w:lang w:val="en-US" w:eastAsia="zh-CN"/>
              </w:rPr>
              <w:t>，计4分；</w:t>
            </w:r>
          </w:p>
          <w:p w14:paraId="6B7758B6">
            <w:pPr>
              <w:numPr>
                <w:ilvl w:val="0"/>
                <w:numId w:val="0"/>
              </w:numPr>
              <w:ind w:leftChars="0"/>
              <w:rPr>
                <w:color w:val="auto"/>
                <w:szCs w:val="21"/>
              </w:rPr>
            </w:pPr>
            <w:r>
              <w:rPr>
                <w:rFonts w:hint="eastAsia"/>
                <w:color w:val="auto"/>
                <w:lang w:val="en-US" w:eastAsia="zh-CN"/>
              </w:rPr>
              <w:t>6）艺术应体现“人民性”，创作与评论（现名文艺论坛），2012年第7期，独著，</w:t>
            </w:r>
            <w:r>
              <w:rPr>
                <w:rFonts w:hint="eastAsia" w:ascii="宋体" w:hAnsi="宋体" w:eastAsia="宋体" w:cs="宋体"/>
                <w:b w:val="0"/>
                <w:bCs w:val="0"/>
                <w:color w:val="auto"/>
                <w:sz w:val="21"/>
                <w:szCs w:val="21"/>
                <w:vertAlign w:val="baseline"/>
                <w:lang w:val="en-US" w:eastAsia="zh-CN"/>
              </w:rPr>
              <w:t>中国人文社会科学核心期刊（扩展版）</w:t>
            </w:r>
            <w:r>
              <w:rPr>
                <w:rFonts w:hint="eastAsia" w:ascii="宋体" w:hAnsi="宋体" w:cs="宋体"/>
                <w:b w:val="0"/>
                <w:bCs w:val="0"/>
                <w:color w:val="auto"/>
                <w:sz w:val="21"/>
                <w:szCs w:val="21"/>
                <w:vertAlign w:val="baseline"/>
                <w:lang w:val="en-US" w:eastAsia="zh-CN"/>
              </w:rPr>
              <w:t>，计4分。</w:t>
            </w:r>
          </w:p>
        </w:tc>
        <w:tc>
          <w:tcPr>
            <w:tcW w:w="1200" w:type="dxa"/>
            <w:vAlign w:val="center"/>
          </w:tcPr>
          <w:p w14:paraId="4BD3B06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2142896">
            <w:pPr>
              <w:adjustRightInd w:val="0"/>
              <w:snapToGrid w:val="0"/>
              <w:spacing w:line="276" w:lineRule="auto"/>
              <w:jc w:val="center"/>
              <w:rPr>
                <w:rFonts w:hint="default" w:eastAsia="宋体"/>
                <w:color w:val="auto"/>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color w:val="auto"/>
                <w:szCs w:val="21"/>
              </w:rPr>
            </w:pPr>
          </w:p>
        </w:tc>
        <w:tc>
          <w:tcPr>
            <w:tcW w:w="1163" w:type="dxa"/>
            <w:vAlign w:val="center"/>
          </w:tcPr>
          <w:p w14:paraId="501AB396">
            <w:pPr>
              <w:adjustRightInd w:val="0"/>
              <w:snapToGrid w:val="0"/>
              <w:spacing w:line="276" w:lineRule="auto"/>
              <w:jc w:val="center"/>
              <w:rPr>
                <w:color w:val="auto"/>
                <w:szCs w:val="21"/>
              </w:rPr>
            </w:pPr>
            <w:r>
              <w:rPr>
                <w:rFonts w:hint="eastAsia"/>
                <w:color w:val="auto"/>
                <w:szCs w:val="21"/>
              </w:rPr>
              <w:t>4-2</w:t>
            </w:r>
          </w:p>
        </w:tc>
        <w:tc>
          <w:tcPr>
            <w:tcW w:w="14536" w:type="dxa"/>
            <w:gridSpan w:val="10"/>
            <w:vAlign w:val="center"/>
          </w:tcPr>
          <w:p w14:paraId="1DABD1A7">
            <w:pPr>
              <w:jc w:val="both"/>
              <w:rPr>
                <w:rFonts w:hint="eastAsia" w:eastAsia="宋体"/>
                <w:color w:val="auto"/>
                <w:szCs w:val="21"/>
                <w:lang w:val="en-US" w:eastAsia="zh-CN"/>
              </w:rPr>
            </w:pPr>
            <w:r>
              <w:rPr>
                <w:rFonts w:hint="eastAsia" w:eastAsia="宋体"/>
                <w:color w:val="auto"/>
                <w:szCs w:val="21"/>
                <w:lang w:val="en-US" w:eastAsia="zh-CN"/>
              </w:rPr>
              <w:t>4-2-1学术著作（学术专著、编著和译著）：</w:t>
            </w:r>
          </w:p>
          <w:p w14:paraId="24F78C99">
            <w:pPr>
              <w:jc w:val="both"/>
              <w:rPr>
                <w:rFonts w:hint="default"/>
                <w:b w:val="0"/>
                <w:bCs w:val="0"/>
                <w:color w:val="auto"/>
                <w:vertAlign w:val="baseline"/>
                <w:lang w:val="en-US" w:eastAsia="zh-CN"/>
              </w:rPr>
            </w:pPr>
            <w:r>
              <w:rPr>
                <w:rFonts w:hint="eastAsia"/>
                <w:b w:val="0"/>
                <w:bCs w:val="0"/>
                <w:color w:val="auto"/>
                <w:vertAlign w:val="baseline"/>
                <w:lang w:val="en-US" w:eastAsia="zh-CN"/>
              </w:rPr>
              <w:t>1）相信文学的价值——张先军文艺评论集，文化发展出版社（部级出版社），230千字，2025年5月，独著（代表作3），计15分。</w:t>
            </w:r>
          </w:p>
          <w:p w14:paraId="5DAAB3C0">
            <w:pPr>
              <w:adjustRightInd w:val="0"/>
              <w:snapToGrid w:val="0"/>
              <w:spacing w:line="276" w:lineRule="auto"/>
              <w:rPr>
                <w:color w:val="auto"/>
                <w:szCs w:val="21"/>
              </w:rPr>
            </w:pPr>
          </w:p>
        </w:tc>
        <w:tc>
          <w:tcPr>
            <w:tcW w:w="1200" w:type="dxa"/>
            <w:vAlign w:val="center"/>
          </w:tcPr>
          <w:p w14:paraId="4E400331">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1957C108">
            <w:pPr>
              <w:adjustRightInd w:val="0"/>
              <w:snapToGrid w:val="0"/>
              <w:spacing w:line="276" w:lineRule="auto"/>
              <w:jc w:val="center"/>
              <w:rPr>
                <w:rFonts w:hint="eastAsia" w:eastAsia="宋体"/>
                <w:color w:val="auto"/>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color w:val="auto"/>
                <w:szCs w:val="21"/>
              </w:rPr>
            </w:pPr>
          </w:p>
        </w:tc>
        <w:tc>
          <w:tcPr>
            <w:tcW w:w="1163" w:type="dxa"/>
            <w:vMerge w:val="restart"/>
            <w:vAlign w:val="center"/>
          </w:tcPr>
          <w:p w14:paraId="3ECA733F">
            <w:pPr>
              <w:adjustRightInd w:val="0"/>
              <w:snapToGrid w:val="0"/>
              <w:spacing w:line="276" w:lineRule="auto"/>
              <w:jc w:val="center"/>
              <w:rPr>
                <w:rFonts w:hint="eastAsia"/>
                <w:color w:val="auto"/>
                <w:szCs w:val="21"/>
              </w:rPr>
            </w:pPr>
            <w:r>
              <w:rPr>
                <w:rFonts w:hint="eastAsia"/>
                <w:color w:val="auto"/>
                <w:szCs w:val="21"/>
              </w:rPr>
              <w:t>4-3</w:t>
            </w:r>
          </w:p>
          <w:p w14:paraId="0C3F595A">
            <w:pPr>
              <w:adjustRightInd w:val="0"/>
              <w:snapToGrid w:val="0"/>
              <w:spacing w:line="276" w:lineRule="auto"/>
              <w:jc w:val="center"/>
              <w:rPr>
                <w:color w:val="auto"/>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4-3-1原创作品、产品</w:t>
            </w:r>
          </w:p>
          <w:p w14:paraId="163216CC">
            <w:pPr>
              <w:pStyle w:val="2"/>
              <w:jc w:val="left"/>
              <w:rPr>
                <w:rFonts w:hint="default"/>
                <w:b w:val="0"/>
                <w:bCs w:val="0"/>
                <w:color w:val="auto"/>
                <w:vertAlign w:val="baseline"/>
                <w:lang w:val="en-US" w:eastAsia="zh-CN"/>
              </w:rPr>
            </w:pPr>
            <w:r>
              <w:rPr>
                <w:rFonts w:hint="eastAsia"/>
                <w:b w:val="0"/>
                <w:bCs w:val="0"/>
                <w:color w:val="auto"/>
                <w:vertAlign w:val="baseline"/>
                <w:lang w:val="en-US" w:eastAsia="zh-CN"/>
              </w:rPr>
              <w:t>1）2017年，部级，2016年度“中华好诗词”奖，独著，《中华诗词》杂志社，计3分；</w:t>
            </w:r>
          </w:p>
          <w:p w14:paraId="2D1045AC">
            <w:pPr>
              <w:rPr>
                <w:rFonts w:hint="default"/>
                <w:b w:val="0"/>
                <w:bCs w:val="0"/>
                <w:color w:val="auto"/>
                <w:vertAlign w:val="baseline"/>
                <w:lang w:val="en-US" w:eastAsia="zh-CN"/>
              </w:rPr>
            </w:pPr>
            <w:r>
              <w:rPr>
                <w:rFonts w:hint="eastAsia"/>
                <w:b w:val="0"/>
                <w:bCs w:val="0"/>
                <w:color w:val="auto"/>
                <w:vertAlign w:val="baseline"/>
                <w:lang w:val="en-US" w:eastAsia="zh-CN"/>
              </w:rPr>
              <w:t>2）2017年，省级，2016年湖南高校新闻奖副刊类一等奖，独著，湖南省新闻工作者协会高校校报分会，计3分；</w:t>
            </w:r>
          </w:p>
          <w:p w14:paraId="7C72CBD6">
            <w:pPr>
              <w:rPr>
                <w:rFonts w:hint="default"/>
                <w:b w:val="0"/>
                <w:bCs w:val="0"/>
                <w:color w:val="auto"/>
                <w:vertAlign w:val="baseline"/>
                <w:lang w:val="en-US" w:eastAsia="zh-CN"/>
              </w:rPr>
            </w:pPr>
            <w:r>
              <w:rPr>
                <w:rFonts w:hint="eastAsia"/>
                <w:b w:val="0"/>
                <w:bCs w:val="0"/>
                <w:color w:val="auto"/>
                <w:vertAlign w:val="baseline"/>
                <w:lang w:val="en-US" w:eastAsia="zh-CN"/>
              </w:rPr>
              <w:t>3）2018年，省级，2016年湖南高校新闻奖副刊类二等奖，独著，湖南省新闻工作者协会高校校报分会，计2分；</w:t>
            </w:r>
          </w:p>
          <w:p w14:paraId="08090186">
            <w:pPr>
              <w:pStyle w:val="2"/>
              <w:jc w:val="left"/>
              <w:rPr>
                <w:rFonts w:hint="default"/>
                <w:color w:val="auto"/>
                <w:lang w:val="en-US" w:eastAsia="zh-CN"/>
              </w:rPr>
            </w:pPr>
            <w:r>
              <w:rPr>
                <w:rFonts w:hint="eastAsia"/>
                <w:color w:val="auto"/>
                <w:lang w:val="en-US" w:eastAsia="zh-CN"/>
              </w:rPr>
              <w:t>4）2019年，部级，“国家开放大学办学体系教职工书画大赛优秀奖”，独著，国家开放大学，计2分；</w:t>
            </w:r>
          </w:p>
          <w:p w14:paraId="29CB3128">
            <w:pPr>
              <w:rPr>
                <w:rFonts w:hint="default"/>
                <w:color w:val="auto"/>
                <w:lang w:val="en-US" w:eastAsia="zh-CN"/>
              </w:rPr>
            </w:pPr>
            <w:r>
              <w:rPr>
                <w:rFonts w:hint="eastAsia"/>
                <w:color w:val="auto"/>
                <w:lang w:val="en-US" w:eastAsia="zh-CN"/>
              </w:rPr>
              <w:t>5）2021年，省级，“魅力龙城  文化湘乡”全国诗词大赛一等奖，独著，湖南省诗词协会、湘乡市人民政府，计3分；</w:t>
            </w:r>
          </w:p>
          <w:p w14:paraId="44942655">
            <w:pPr>
              <w:pStyle w:val="2"/>
              <w:jc w:val="left"/>
              <w:rPr>
                <w:rFonts w:hint="default"/>
                <w:color w:val="auto"/>
                <w:lang w:val="en-US" w:eastAsia="zh-CN"/>
              </w:rPr>
            </w:pPr>
            <w:r>
              <w:rPr>
                <w:rFonts w:hint="eastAsia"/>
                <w:color w:val="auto"/>
                <w:lang w:val="en-US" w:eastAsia="zh-CN"/>
              </w:rPr>
              <w:t>6）2021年，部级，“韩建杯”第二届“贾岛故里 诗韵房山”全球华人诗词大赛优秀奖，独著，中华诗词学会，计2分</w:t>
            </w:r>
          </w:p>
          <w:p w14:paraId="3894A651">
            <w:pPr>
              <w:rPr>
                <w:rFonts w:hint="default"/>
                <w:color w:val="auto"/>
                <w:lang w:val="en-US" w:eastAsia="zh-CN"/>
              </w:rPr>
            </w:pPr>
            <w:r>
              <w:rPr>
                <w:rFonts w:hint="eastAsia"/>
                <w:color w:val="auto"/>
                <w:lang w:val="en-US" w:eastAsia="zh-CN"/>
              </w:rPr>
              <w:t>7）2021年，国家级，发表旧体诗词《木兰》等三首，独著，《诗刊》杂志2021年第1期，计3分；</w:t>
            </w:r>
          </w:p>
          <w:p w14:paraId="4A7FDB1D">
            <w:pPr>
              <w:pStyle w:val="2"/>
              <w:jc w:val="both"/>
              <w:rPr>
                <w:rFonts w:hint="eastAsia"/>
                <w:color w:val="auto"/>
                <w:lang w:val="en-US" w:eastAsia="zh-CN"/>
              </w:rPr>
            </w:pPr>
            <w:r>
              <w:rPr>
                <w:rFonts w:hint="eastAsia"/>
                <w:color w:val="auto"/>
                <w:lang w:val="en-US" w:eastAsia="zh-CN"/>
              </w:rPr>
              <w:t>8）2021年，国家级，发表旧体诗词《张先军诗选》11首，独著，《中华辞赋》杂志2021年第1期，计3分；</w:t>
            </w:r>
          </w:p>
          <w:p w14:paraId="0991DB69">
            <w:pPr>
              <w:rPr>
                <w:rFonts w:hint="default" w:eastAsia="宋体"/>
                <w:b w:val="0"/>
                <w:bCs w:val="0"/>
                <w:color w:val="auto"/>
                <w:vertAlign w:val="baseline"/>
                <w:lang w:val="en-US" w:eastAsia="zh-CN"/>
              </w:rPr>
            </w:pPr>
            <w:r>
              <w:rPr>
                <w:rFonts w:hint="eastAsia"/>
                <w:b w:val="0"/>
                <w:bCs w:val="0"/>
                <w:color w:val="auto"/>
                <w:vertAlign w:val="baseline"/>
                <w:lang w:val="en-US" w:eastAsia="zh-CN"/>
              </w:rPr>
              <w:t>9）2021年，市级，礼赞建党百年“鲁安杯”全国诗词大赛一等奖，中共安丘市委组织部、宣传部，计2分；</w:t>
            </w:r>
          </w:p>
          <w:p w14:paraId="100DA03F">
            <w:pPr>
              <w:pStyle w:val="2"/>
              <w:jc w:val="both"/>
              <w:rPr>
                <w:rFonts w:hint="eastAsia"/>
                <w:color w:val="auto"/>
                <w:lang w:val="en-US" w:eastAsia="zh-CN"/>
              </w:rPr>
            </w:pPr>
            <w:r>
              <w:rPr>
                <w:rFonts w:hint="eastAsia"/>
                <w:color w:val="auto"/>
                <w:lang w:val="en-US" w:eastAsia="zh-CN"/>
              </w:rPr>
              <w:t>10）2020年，市级，邵阳市抗击疫情文学类优秀文艺作品奖，中共邵阳市委宣传部，计2分；</w:t>
            </w:r>
          </w:p>
          <w:p w14:paraId="4BF3EDFA">
            <w:pPr>
              <w:rPr>
                <w:rFonts w:hint="eastAsia"/>
                <w:color w:val="auto"/>
                <w:lang w:val="en-US" w:eastAsia="zh-CN"/>
              </w:rPr>
            </w:pPr>
            <w:r>
              <w:rPr>
                <w:rFonts w:hint="eastAsia"/>
                <w:color w:val="auto"/>
                <w:lang w:val="en-US" w:eastAsia="zh-CN"/>
              </w:rPr>
              <w:t>11）2021年，市级，“魅力龙城、文化湘乡”全国诗词大赛一等奖，湖南省诗词协会、湘乡市人民政府，计2分；</w:t>
            </w:r>
          </w:p>
          <w:p w14:paraId="702F401E">
            <w:pPr>
              <w:pStyle w:val="2"/>
              <w:jc w:val="left"/>
              <w:rPr>
                <w:rFonts w:hint="eastAsia"/>
                <w:color w:val="auto"/>
                <w:lang w:val="en-US" w:eastAsia="zh-CN"/>
              </w:rPr>
            </w:pPr>
            <w:r>
              <w:rPr>
                <w:rFonts w:hint="eastAsia"/>
                <w:color w:val="auto"/>
                <w:lang w:val="en-US" w:eastAsia="zh-CN"/>
              </w:rPr>
              <w:t>12）2021年，市级，“我的祖国我的党”格律诗词全国征稿大赛优秀奖，深圳市诗词学会，计1分；</w:t>
            </w:r>
          </w:p>
          <w:p w14:paraId="44380A48">
            <w:pPr>
              <w:rPr>
                <w:rFonts w:hint="default"/>
                <w:lang w:val="en-US"/>
              </w:rPr>
            </w:pPr>
            <w:r>
              <w:rPr>
                <w:rFonts w:hint="eastAsia"/>
                <w:color w:val="auto"/>
                <w:lang w:val="en-US" w:eastAsia="zh-CN"/>
              </w:rPr>
              <w:t>13）2023年，部级，韩建杯第二届“贾岛故里 诗韵房山”全球华人诗词大赛优秀奖，中华诗词学会，计2分。</w:t>
            </w:r>
          </w:p>
        </w:tc>
        <w:tc>
          <w:tcPr>
            <w:tcW w:w="1200" w:type="dxa"/>
            <w:vAlign w:val="center"/>
          </w:tcPr>
          <w:p w14:paraId="46AE610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uto"/>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color w:val="auto"/>
                <w:szCs w:val="21"/>
              </w:rPr>
            </w:pPr>
          </w:p>
        </w:tc>
        <w:tc>
          <w:tcPr>
            <w:tcW w:w="1163" w:type="dxa"/>
            <w:vMerge w:val="continue"/>
            <w:vAlign w:val="center"/>
          </w:tcPr>
          <w:p w14:paraId="5C681B9A">
            <w:pPr>
              <w:adjustRightInd w:val="0"/>
              <w:snapToGrid w:val="0"/>
              <w:spacing w:line="276" w:lineRule="auto"/>
              <w:jc w:val="center"/>
              <w:rPr>
                <w:color w:val="auto"/>
                <w:szCs w:val="21"/>
              </w:rPr>
            </w:pPr>
          </w:p>
        </w:tc>
        <w:tc>
          <w:tcPr>
            <w:tcW w:w="14536" w:type="dxa"/>
            <w:gridSpan w:val="10"/>
            <w:vAlign w:val="center"/>
          </w:tcPr>
          <w:p w14:paraId="4099FE62">
            <w:pPr>
              <w:adjustRightInd w:val="0"/>
              <w:snapToGrid w:val="0"/>
              <w:spacing w:line="276" w:lineRule="auto"/>
              <w:rPr>
                <w:rFonts w:hint="default"/>
                <w:color w:val="auto"/>
                <w:szCs w:val="21"/>
                <w:lang w:val="en-US"/>
              </w:rPr>
            </w:pPr>
            <w:r>
              <w:rPr>
                <w:rFonts w:hint="eastAsia" w:eastAsia="宋体"/>
                <w:color w:val="auto"/>
                <w:szCs w:val="21"/>
                <w:lang w:val="en-US" w:eastAsia="zh-CN"/>
              </w:rPr>
              <w:t>4-3-2非原创作品、产品</w:t>
            </w:r>
            <w:r>
              <w:rPr>
                <w:rFonts w:hint="eastAsia"/>
                <w:color w:val="auto"/>
                <w:szCs w:val="21"/>
                <w:lang w:val="en-US" w:eastAsia="zh-CN"/>
              </w:rPr>
              <w:t xml:space="preserve">    无</w:t>
            </w:r>
          </w:p>
        </w:tc>
        <w:tc>
          <w:tcPr>
            <w:tcW w:w="1200" w:type="dxa"/>
            <w:vAlign w:val="center"/>
          </w:tcPr>
          <w:p w14:paraId="40ED6E66">
            <w:pPr>
              <w:adjustRightInd w:val="0"/>
              <w:snapToGrid w:val="0"/>
              <w:spacing w:line="276" w:lineRule="auto"/>
              <w:jc w:val="center"/>
              <w:rPr>
                <w:color w:val="auto"/>
                <w:szCs w:val="21"/>
              </w:rPr>
            </w:pPr>
          </w:p>
        </w:tc>
        <w:tc>
          <w:tcPr>
            <w:tcW w:w="1274" w:type="dxa"/>
            <w:vMerge w:val="continue"/>
            <w:tcBorders/>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uto"/>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trPr>
        <w:tc>
          <w:tcPr>
            <w:tcW w:w="646" w:type="dxa"/>
            <w:vMerge w:val="continue"/>
            <w:vAlign w:val="center"/>
          </w:tcPr>
          <w:p w14:paraId="5F4586BF">
            <w:pPr>
              <w:adjustRightInd w:val="0"/>
              <w:snapToGrid w:val="0"/>
              <w:spacing w:line="276" w:lineRule="auto"/>
              <w:jc w:val="center"/>
              <w:rPr>
                <w:b/>
                <w:color w:val="auto"/>
                <w:szCs w:val="21"/>
              </w:rPr>
            </w:pPr>
          </w:p>
        </w:tc>
        <w:tc>
          <w:tcPr>
            <w:tcW w:w="1163" w:type="dxa"/>
            <w:vAlign w:val="center"/>
          </w:tcPr>
          <w:p w14:paraId="575EEDF5">
            <w:pPr>
              <w:adjustRightInd w:val="0"/>
              <w:snapToGrid w:val="0"/>
              <w:spacing w:line="276" w:lineRule="auto"/>
              <w:jc w:val="center"/>
              <w:rPr>
                <w:rFonts w:hint="default" w:eastAsia="宋体"/>
                <w:color w:val="auto"/>
                <w:szCs w:val="21"/>
                <w:lang w:val="en-US" w:eastAsia="zh-CN"/>
              </w:rPr>
            </w:pPr>
            <w:r>
              <w:rPr>
                <w:rFonts w:hint="eastAsia"/>
                <w:color w:val="auto"/>
                <w:szCs w:val="21"/>
              </w:rPr>
              <w:t>4-4</w:t>
            </w:r>
            <w:r>
              <w:rPr>
                <w:rFonts w:hint="eastAsia"/>
                <w:color w:val="auto"/>
                <w:szCs w:val="21"/>
                <w:lang w:val="en-US" w:eastAsia="zh-CN"/>
              </w:rPr>
              <w:t>-1</w:t>
            </w:r>
          </w:p>
          <w:p w14:paraId="360AAF94">
            <w:pPr>
              <w:adjustRightInd w:val="0"/>
              <w:snapToGrid w:val="0"/>
              <w:spacing w:line="276" w:lineRule="auto"/>
              <w:jc w:val="center"/>
              <w:rPr>
                <w:rFonts w:hint="eastAsia"/>
                <w:color w:val="auto"/>
                <w:szCs w:val="21"/>
              </w:rPr>
            </w:pPr>
          </w:p>
        </w:tc>
        <w:tc>
          <w:tcPr>
            <w:tcW w:w="14536" w:type="dxa"/>
            <w:gridSpan w:val="10"/>
            <w:vAlign w:val="center"/>
          </w:tcPr>
          <w:p w14:paraId="5B536E2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纵向科研项目（含科研、教改等项目）</w:t>
            </w:r>
          </w:p>
          <w:p w14:paraId="333098AE">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eastAsia="宋体"/>
                <w:color w:val="auto"/>
                <w:sz w:val="21"/>
                <w:szCs w:val="21"/>
                <w:lang w:eastAsia="zh-CN"/>
              </w:rPr>
            </w:pPr>
            <w:r>
              <w:rPr>
                <w:rFonts w:hint="eastAsia" w:ascii="方正书宋简体" w:hAnsi="宋体" w:eastAsia="方正书宋简体"/>
                <w:color w:val="auto"/>
                <w:sz w:val="21"/>
                <w:szCs w:val="21"/>
                <w:lang w:val="en-US" w:eastAsia="zh-CN"/>
              </w:rPr>
              <w:t>1）</w:t>
            </w:r>
            <w:r>
              <w:rPr>
                <w:rFonts w:hint="eastAsia" w:ascii="方正书宋简体" w:hAnsi="宋体" w:eastAsia="方正书宋简体"/>
                <w:color w:val="auto"/>
                <w:sz w:val="21"/>
                <w:szCs w:val="21"/>
                <w:lang w:eastAsia="zh-CN"/>
              </w:rPr>
              <w:t>农村教育资源整合研究，</w:t>
            </w:r>
            <w:r>
              <w:rPr>
                <w:rFonts w:hint="eastAsia" w:ascii="方正书宋简体" w:hAnsi="宋体" w:eastAsia="方正书宋简体"/>
                <w:color w:val="auto"/>
                <w:sz w:val="21"/>
                <w:szCs w:val="21"/>
                <w:lang w:val="en-US" w:eastAsia="zh-CN"/>
              </w:rPr>
              <w:t>2010年，</w:t>
            </w:r>
            <w:r>
              <w:rPr>
                <w:rFonts w:hint="eastAsia" w:ascii="宋体"/>
                <w:color w:val="auto"/>
                <w:sz w:val="21"/>
                <w:szCs w:val="21"/>
                <w:lang w:eastAsia="zh-CN"/>
              </w:rPr>
              <w:t>邵阳市社科成果评审委员会，重点课题，</w:t>
            </w:r>
            <w:r>
              <w:rPr>
                <w:rFonts w:hint="eastAsia" w:ascii="宋体" w:hAnsi="宋体" w:eastAsia="宋体" w:cs="宋体"/>
                <w:color w:val="auto"/>
                <w:vertAlign w:val="baseline"/>
                <w:lang w:val="en-US" w:eastAsia="zh-CN"/>
              </w:rPr>
              <w:t>邵社评〔2010〕9号，主持，已结题，计5分；</w:t>
            </w:r>
          </w:p>
          <w:p w14:paraId="16CC8D9F">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eastAsia="宋体"/>
                <w:color w:val="auto"/>
                <w:sz w:val="21"/>
                <w:szCs w:val="21"/>
                <w:lang w:eastAsia="zh-CN"/>
              </w:rPr>
            </w:pPr>
            <w:r>
              <w:rPr>
                <w:rFonts w:hint="eastAsia" w:ascii="方正书宋简体" w:hAnsi="宋体" w:eastAsia="方正书宋简体"/>
                <w:color w:val="auto"/>
                <w:sz w:val="21"/>
                <w:szCs w:val="21"/>
                <w:lang w:val="en-US" w:eastAsia="zh-CN"/>
              </w:rPr>
              <w:t>2）邵阳精神研究，2013年，</w:t>
            </w:r>
            <w:r>
              <w:rPr>
                <w:rFonts w:hint="eastAsia" w:ascii="宋体"/>
                <w:color w:val="auto"/>
                <w:sz w:val="21"/>
                <w:szCs w:val="21"/>
                <w:lang w:eastAsia="zh-CN"/>
              </w:rPr>
              <w:t>邵阳市社科成果评审委员会，委托项目，</w:t>
            </w:r>
            <w:r>
              <w:rPr>
                <w:rFonts w:hint="eastAsia" w:ascii="宋体" w:hAnsi="宋体" w:eastAsia="宋体" w:cs="宋体"/>
                <w:color w:val="auto"/>
                <w:vertAlign w:val="baseline"/>
                <w:lang w:val="en-US" w:eastAsia="zh-CN"/>
              </w:rPr>
              <w:t>邵社评〔2013〕6号，</w:t>
            </w:r>
            <w:r>
              <w:rPr>
                <w:rFonts w:hint="eastAsia" w:ascii="方正书宋简体" w:hAnsi="宋体" w:eastAsia="方正书宋简体"/>
                <w:color w:val="auto"/>
                <w:sz w:val="21"/>
                <w:szCs w:val="21"/>
                <w:lang w:val="en-US" w:eastAsia="zh-CN"/>
              </w:rPr>
              <w:t>参与，已结题，论文获二等奖，；</w:t>
            </w:r>
          </w:p>
          <w:p w14:paraId="4CD929B5">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3）市级社区终身教育网站建设和教学实践研究，2013年，湖南广播电视大学，XDK2013-C-25，参与，排名第二，已结题。</w:t>
            </w:r>
          </w:p>
          <w:p w14:paraId="3A5E90BB">
            <w:pPr>
              <w:keepNext w:val="0"/>
              <w:keepLines w:val="0"/>
              <w:pageBreakBefore w:val="0"/>
              <w:widowControl w:val="0"/>
              <w:kinsoku/>
              <w:wordWrap/>
              <w:overflowPunct/>
              <w:topLinePunct w:val="0"/>
              <w:autoSpaceDE/>
              <w:autoSpaceDN/>
              <w:bidi w:val="0"/>
              <w:adjustRightInd/>
              <w:snapToGrid/>
              <w:spacing w:line="340" w:lineRule="exact"/>
              <w:jc w:val="left"/>
              <w:textAlignment w:val="auto"/>
              <w:rPr>
                <w:color w:val="auto"/>
              </w:rPr>
            </w:pPr>
            <w:r>
              <w:rPr>
                <w:rFonts w:hint="eastAsia" w:ascii="宋体" w:hAnsi="宋体" w:eastAsia="宋体" w:cs="宋体"/>
                <w:color w:val="auto"/>
                <w:vertAlign w:val="baseline"/>
                <w:lang w:val="en-US" w:eastAsia="zh-CN"/>
              </w:rPr>
              <w:t>4）邵阳地区社区教育品牌研究，2023年，湖南省教育厅，ZJGB2022160，参与，排名第五，在研。</w:t>
            </w:r>
          </w:p>
        </w:tc>
        <w:tc>
          <w:tcPr>
            <w:tcW w:w="1200" w:type="dxa"/>
            <w:vAlign w:val="center"/>
          </w:tcPr>
          <w:p w14:paraId="0B9D235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15.6</w:t>
            </w:r>
          </w:p>
        </w:tc>
        <w:tc>
          <w:tcPr>
            <w:tcW w:w="2331" w:type="dxa"/>
            <w:vAlign w:val="center"/>
          </w:tcPr>
          <w:p w14:paraId="5BFDD522">
            <w:pPr>
              <w:adjustRightInd w:val="0"/>
              <w:snapToGrid w:val="0"/>
              <w:spacing w:line="276" w:lineRule="auto"/>
              <w:jc w:val="center"/>
              <w:rPr>
                <w:rFonts w:hint="eastAsia" w:eastAsia="宋体"/>
                <w:color w:val="auto"/>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color w:val="auto"/>
                <w:szCs w:val="21"/>
              </w:rPr>
            </w:pPr>
          </w:p>
        </w:tc>
        <w:tc>
          <w:tcPr>
            <w:tcW w:w="1163" w:type="dxa"/>
            <w:vAlign w:val="center"/>
          </w:tcPr>
          <w:p w14:paraId="047F2B83">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4-4-2</w:t>
            </w:r>
          </w:p>
          <w:p w14:paraId="05987D4F">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横向项目</w:t>
            </w:r>
          </w:p>
          <w:p w14:paraId="25B1F728">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default"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1）本人，社区教育背景下的诗词文化建设研究，2019年12月，邵阳市社会科学成果评审委员会、邵阳市社会科学界联合会，委托项目，邵社评〔2019〕7号，主持，已结题，发表论文被评为邵阳市第十六届社会科学优秀成果二等奖，到校经费6万元；计2分。</w:t>
            </w:r>
          </w:p>
          <w:p w14:paraId="180225D3">
            <w:pPr>
              <w:adjustRightInd w:val="0"/>
              <w:snapToGrid w:val="0"/>
              <w:spacing w:line="276" w:lineRule="auto"/>
              <w:rPr>
                <w:color w:val="auto"/>
                <w:szCs w:val="21"/>
              </w:rPr>
            </w:pPr>
          </w:p>
        </w:tc>
        <w:tc>
          <w:tcPr>
            <w:tcW w:w="1200" w:type="dxa"/>
            <w:vAlign w:val="center"/>
          </w:tcPr>
          <w:p w14:paraId="53E5688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uto"/>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color w:val="auto"/>
                <w:szCs w:val="21"/>
              </w:rPr>
            </w:pPr>
          </w:p>
        </w:tc>
        <w:tc>
          <w:tcPr>
            <w:tcW w:w="1163" w:type="dxa"/>
            <w:vAlign w:val="center"/>
          </w:tcPr>
          <w:p w14:paraId="7EAF159E">
            <w:pPr>
              <w:adjustRightInd w:val="0"/>
              <w:snapToGrid w:val="0"/>
              <w:spacing w:line="276" w:lineRule="auto"/>
              <w:jc w:val="center"/>
              <w:rPr>
                <w:rFonts w:hint="eastAsia" w:eastAsia="宋体"/>
                <w:color w:val="auto"/>
                <w:szCs w:val="21"/>
                <w:lang w:val="en-US" w:eastAsia="zh-CN"/>
              </w:rPr>
            </w:pPr>
            <w:r>
              <w:rPr>
                <w:rFonts w:hint="eastAsia"/>
                <w:color w:val="auto"/>
                <w:szCs w:val="21"/>
              </w:rPr>
              <w:t>4-</w:t>
            </w:r>
            <w:r>
              <w:rPr>
                <w:rFonts w:hint="eastAsia"/>
                <w:color w:val="auto"/>
                <w:szCs w:val="21"/>
                <w:lang w:val="en-US" w:eastAsia="zh-CN"/>
              </w:rPr>
              <w:t>5</w:t>
            </w:r>
          </w:p>
        </w:tc>
        <w:tc>
          <w:tcPr>
            <w:tcW w:w="14536" w:type="dxa"/>
            <w:gridSpan w:val="10"/>
            <w:vAlign w:val="center"/>
          </w:tcPr>
          <w:p w14:paraId="462DC5A3">
            <w:pPr>
              <w:adjustRightInd w:val="0"/>
              <w:snapToGrid w:val="0"/>
              <w:spacing w:line="276" w:lineRule="auto"/>
              <w:rPr>
                <w:rFonts w:hint="eastAsia"/>
                <w:color w:val="auto"/>
                <w:szCs w:val="21"/>
                <w:lang w:val="en-US" w:eastAsia="zh-CN"/>
              </w:rPr>
            </w:pPr>
            <w:r>
              <w:rPr>
                <w:rFonts w:hint="eastAsia"/>
                <w:color w:val="auto"/>
                <w:szCs w:val="21"/>
                <w:lang w:val="en-US" w:eastAsia="zh-CN"/>
              </w:rPr>
              <w:t>成果奖励</w:t>
            </w:r>
          </w:p>
          <w:p w14:paraId="09C2ED5E">
            <w:pPr>
              <w:jc w:val="left"/>
              <w:rPr>
                <w:rFonts w:hint="default"/>
                <w:b w:val="0"/>
                <w:bCs w:val="0"/>
                <w:color w:val="auto"/>
                <w:vertAlign w:val="baseline"/>
                <w:lang w:val="en-US" w:eastAsia="zh-CN"/>
              </w:rPr>
            </w:pPr>
            <w:r>
              <w:rPr>
                <w:rFonts w:hint="eastAsia"/>
                <w:b w:val="0"/>
                <w:bCs w:val="0"/>
                <w:color w:val="auto"/>
                <w:vertAlign w:val="baseline"/>
                <w:lang w:val="en-US" w:eastAsia="zh-CN"/>
              </w:rPr>
              <w:t>1）2021年，省级，庆祝中国共产党成立100周年征文二等奖，独著，湖南省社会科学界联合会，计6分</w:t>
            </w:r>
          </w:p>
          <w:p w14:paraId="4BAEA485">
            <w:pPr>
              <w:pStyle w:val="2"/>
              <w:jc w:val="left"/>
              <w:rPr>
                <w:rFonts w:hint="eastAsia"/>
                <w:b w:val="0"/>
                <w:bCs w:val="0"/>
                <w:color w:val="auto"/>
                <w:vertAlign w:val="baseline"/>
                <w:lang w:val="en-US" w:eastAsia="zh-CN"/>
              </w:rPr>
            </w:pPr>
            <w:r>
              <w:rPr>
                <w:rFonts w:hint="eastAsia"/>
                <w:b w:val="0"/>
                <w:bCs w:val="0"/>
                <w:color w:val="auto"/>
                <w:vertAlign w:val="baseline"/>
                <w:lang w:val="en-US" w:eastAsia="zh-CN"/>
              </w:rPr>
              <w:t>2）2021年，市级，邵阳市第十六届社会科学优秀成果二等奖，独著，邵阳市社会科学成果评审委员会、邵阳市社会科学界联合会</w:t>
            </w:r>
          </w:p>
          <w:p w14:paraId="22400039">
            <w:pPr>
              <w:pStyle w:val="2"/>
              <w:jc w:val="left"/>
              <w:rPr>
                <w:rFonts w:hint="eastAsia"/>
                <w:b w:val="0"/>
                <w:bCs w:val="0"/>
                <w:color w:val="auto"/>
                <w:vertAlign w:val="baseline"/>
                <w:lang w:val="en-US" w:eastAsia="zh-CN"/>
              </w:rPr>
            </w:pPr>
            <w:r>
              <w:rPr>
                <w:rFonts w:hint="eastAsia"/>
                <w:b w:val="0"/>
                <w:bCs w:val="0"/>
                <w:color w:val="auto"/>
                <w:vertAlign w:val="baseline"/>
                <w:lang w:val="en-US" w:eastAsia="zh-CN"/>
              </w:rPr>
              <w:t>3）2013年，市级，“邵阳精神”课题研究论文评选二等奖，独著，邵阳市社会科学成果评审委员会、邵阳市社会科学界联合会</w:t>
            </w:r>
          </w:p>
          <w:p w14:paraId="62A689EE">
            <w:pPr>
              <w:adjustRightInd w:val="0"/>
              <w:snapToGrid w:val="0"/>
              <w:spacing w:line="276" w:lineRule="auto"/>
              <w:rPr>
                <w:color w:val="auto"/>
                <w:szCs w:val="21"/>
              </w:rPr>
            </w:pPr>
            <w:r>
              <w:rPr>
                <w:rFonts w:hint="eastAsia"/>
                <w:color w:val="auto"/>
                <w:lang w:val="en-US" w:eastAsia="zh-CN"/>
              </w:rPr>
              <w:t>4）</w:t>
            </w:r>
            <w:r>
              <w:rPr>
                <w:rFonts w:hint="default"/>
                <w:color w:val="auto"/>
                <w:lang w:val="en-US" w:eastAsia="zh-CN"/>
              </w:rPr>
              <w:t>2012年</w:t>
            </w:r>
            <w:r>
              <w:rPr>
                <w:rFonts w:hint="eastAsia"/>
                <w:color w:val="auto"/>
                <w:lang w:val="en-US" w:eastAsia="zh-CN"/>
              </w:rPr>
              <w:t>，市级，</w:t>
            </w:r>
            <w:r>
              <w:rPr>
                <w:rFonts w:hint="default"/>
                <w:color w:val="auto"/>
                <w:lang w:val="en-US" w:eastAsia="zh-CN"/>
              </w:rPr>
              <w:t>“邵阳发展大家谈”论文评选三等奖</w:t>
            </w:r>
            <w:r>
              <w:rPr>
                <w:rFonts w:hint="eastAsia"/>
                <w:color w:val="auto"/>
                <w:lang w:val="en-US" w:eastAsia="zh-CN"/>
              </w:rPr>
              <w:t>，独著</w:t>
            </w:r>
            <w:r>
              <w:rPr>
                <w:rFonts w:hint="eastAsia"/>
                <w:b w:val="0"/>
                <w:bCs w:val="0"/>
                <w:color w:val="auto"/>
                <w:vertAlign w:val="baseline"/>
                <w:lang w:val="en-US" w:eastAsia="zh-CN"/>
              </w:rPr>
              <w:t>，邵阳市社会科学成果评审委员会、邵阳市社会科学界联合会</w:t>
            </w:r>
          </w:p>
        </w:tc>
        <w:tc>
          <w:tcPr>
            <w:tcW w:w="1200" w:type="dxa"/>
            <w:vAlign w:val="center"/>
          </w:tcPr>
          <w:p w14:paraId="30B56F5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1274" w:type="dxa"/>
            <w:vAlign w:val="center"/>
          </w:tcPr>
          <w:p w14:paraId="3993CEE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w:t>
            </w:r>
            <w:bookmarkStart w:id="4" w:name="_GoBack"/>
            <w:bookmarkEnd w:id="4"/>
            <w:r>
              <w:rPr>
                <w:rFonts w:hint="eastAsia"/>
                <w:color w:val="auto"/>
                <w:szCs w:val="21"/>
                <w:lang w:val="en-US" w:eastAsia="zh-CN"/>
              </w:rPr>
              <w:t>3</w:t>
            </w:r>
          </w:p>
        </w:tc>
        <w:tc>
          <w:tcPr>
            <w:tcW w:w="2331" w:type="dxa"/>
            <w:vAlign w:val="center"/>
          </w:tcPr>
          <w:p w14:paraId="4B655018">
            <w:pPr>
              <w:adjustRightInd w:val="0"/>
              <w:snapToGrid w:val="0"/>
              <w:spacing w:line="276" w:lineRule="auto"/>
              <w:jc w:val="center"/>
              <w:rPr>
                <w:rFonts w:hint="eastAsia" w:eastAsia="宋体"/>
                <w:color w:val="auto"/>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color w:val="auto"/>
                <w:szCs w:val="21"/>
              </w:rPr>
            </w:pPr>
          </w:p>
        </w:tc>
        <w:tc>
          <w:tcPr>
            <w:tcW w:w="1163" w:type="dxa"/>
            <w:vAlign w:val="center"/>
          </w:tcPr>
          <w:p w14:paraId="2C2CD238">
            <w:pPr>
              <w:adjustRightInd w:val="0"/>
              <w:snapToGrid w:val="0"/>
              <w:spacing w:line="276" w:lineRule="auto"/>
              <w:jc w:val="center"/>
              <w:rPr>
                <w:color w:val="auto"/>
                <w:szCs w:val="21"/>
              </w:rPr>
            </w:pPr>
            <w:r>
              <w:rPr>
                <w:rFonts w:hint="eastAsia"/>
                <w:color w:val="auto"/>
                <w:szCs w:val="21"/>
              </w:rPr>
              <w:t>4-6</w:t>
            </w:r>
          </w:p>
        </w:tc>
        <w:tc>
          <w:tcPr>
            <w:tcW w:w="14536" w:type="dxa"/>
            <w:gridSpan w:val="10"/>
            <w:vAlign w:val="center"/>
          </w:tcPr>
          <w:p w14:paraId="3C6E0156">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成果转化</w:t>
            </w:r>
          </w:p>
          <w:p w14:paraId="48F4F5F9">
            <w:pPr>
              <w:adjustRightInd w:val="0"/>
              <w:snapToGrid w:val="0"/>
              <w:spacing w:line="276" w:lineRule="auto"/>
              <w:rPr>
                <w:rFonts w:hint="eastAsia" w:eastAsia="宋体"/>
                <w:color w:val="auto"/>
                <w:szCs w:val="21"/>
                <w:lang w:eastAsia="zh-CN"/>
              </w:rPr>
            </w:pPr>
            <w:r>
              <w:rPr>
                <w:rFonts w:hint="eastAsia"/>
                <w:color w:val="auto"/>
                <w:szCs w:val="21"/>
                <w:lang w:eastAsia="zh-CN"/>
              </w:rPr>
              <w:t>无</w:t>
            </w:r>
          </w:p>
        </w:tc>
        <w:tc>
          <w:tcPr>
            <w:tcW w:w="1200" w:type="dxa"/>
            <w:vAlign w:val="center"/>
          </w:tcPr>
          <w:p w14:paraId="3EAF8E55">
            <w:pPr>
              <w:adjustRightInd w:val="0"/>
              <w:snapToGrid w:val="0"/>
              <w:spacing w:line="276" w:lineRule="auto"/>
              <w:jc w:val="center"/>
              <w:rPr>
                <w:color w:val="auto"/>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uto"/>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color w:val="auto"/>
                <w:szCs w:val="21"/>
              </w:rPr>
            </w:pPr>
          </w:p>
        </w:tc>
        <w:tc>
          <w:tcPr>
            <w:tcW w:w="1163" w:type="dxa"/>
            <w:vAlign w:val="center"/>
          </w:tcPr>
          <w:p w14:paraId="21DC4AD4">
            <w:pPr>
              <w:adjustRightInd w:val="0"/>
              <w:snapToGrid w:val="0"/>
              <w:spacing w:line="276" w:lineRule="auto"/>
              <w:jc w:val="center"/>
              <w:rPr>
                <w:b w:val="0"/>
                <w:bCs/>
                <w:color w:val="auto"/>
                <w:szCs w:val="21"/>
              </w:rPr>
            </w:pPr>
            <w:r>
              <w:rPr>
                <w:rFonts w:hint="eastAsia"/>
                <w:b w:val="0"/>
                <w:bCs/>
                <w:color w:val="auto"/>
                <w:szCs w:val="21"/>
              </w:rPr>
              <w:t>4-7</w:t>
            </w:r>
          </w:p>
        </w:tc>
        <w:tc>
          <w:tcPr>
            <w:tcW w:w="14536" w:type="dxa"/>
            <w:gridSpan w:val="10"/>
            <w:vAlign w:val="center"/>
          </w:tcPr>
          <w:p w14:paraId="1CEE5CCA">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咨询报告或领导批示</w:t>
            </w:r>
          </w:p>
          <w:p w14:paraId="406038E8">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无</w:t>
            </w:r>
          </w:p>
        </w:tc>
        <w:tc>
          <w:tcPr>
            <w:tcW w:w="1200" w:type="dxa"/>
            <w:vAlign w:val="center"/>
          </w:tcPr>
          <w:p w14:paraId="32216470">
            <w:pPr>
              <w:adjustRightInd w:val="0"/>
              <w:snapToGrid w:val="0"/>
              <w:spacing w:line="276" w:lineRule="auto"/>
              <w:jc w:val="center"/>
              <w:rPr>
                <w:color w:val="auto"/>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uto"/>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color w:val="auto"/>
                <w:szCs w:val="21"/>
              </w:rPr>
            </w:pPr>
          </w:p>
        </w:tc>
        <w:tc>
          <w:tcPr>
            <w:tcW w:w="1163" w:type="dxa"/>
            <w:vAlign w:val="center"/>
          </w:tcPr>
          <w:p w14:paraId="4103D2C9">
            <w:pPr>
              <w:adjustRightInd w:val="0"/>
              <w:snapToGrid w:val="0"/>
              <w:spacing w:line="276" w:lineRule="auto"/>
              <w:jc w:val="center"/>
              <w:rPr>
                <w:rFonts w:hint="default" w:eastAsia="宋体"/>
                <w:b w:val="0"/>
                <w:bCs/>
                <w:color w:val="auto"/>
                <w:szCs w:val="21"/>
                <w:lang w:val="en-US" w:eastAsia="zh-CN"/>
              </w:rPr>
            </w:pPr>
            <w:r>
              <w:rPr>
                <w:rFonts w:hint="eastAsia"/>
                <w:b w:val="0"/>
                <w:bCs/>
                <w:color w:val="auto"/>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auto"/>
                <w:szCs w:val="21"/>
                <w:lang w:val="en-US" w:eastAsia="zh-CN"/>
              </w:rPr>
            </w:pPr>
            <w:r>
              <w:rPr>
                <w:rFonts w:hint="eastAsia"/>
                <w:b w:val="0"/>
                <w:bCs/>
                <w:color w:val="auto"/>
                <w:szCs w:val="21"/>
                <w:lang w:val="en-US" w:eastAsia="zh-CN"/>
              </w:rPr>
              <w:t>担任科技特派员</w:t>
            </w:r>
          </w:p>
          <w:p w14:paraId="7B17E285">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无</w:t>
            </w:r>
          </w:p>
        </w:tc>
        <w:tc>
          <w:tcPr>
            <w:tcW w:w="1200" w:type="dxa"/>
            <w:vAlign w:val="center"/>
          </w:tcPr>
          <w:p w14:paraId="0A333D98">
            <w:pPr>
              <w:adjustRightInd w:val="0"/>
              <w:snapToGrid w:val="0"/>
              <w:spacing w:line="276" w:lineRule="auto"/>
              <w:jc w:val="center"/>
              <w:rPr>
                <w:color w:val="auto"/>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uto"/>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color w:val="auto"/>
                <w:szCs w:val="21"/>
              </w:rPr>
            </w:pPr>
            <w:r>
              <w:rPr>
                <w:rFonts w:hint="eastAsia"/>
                <w:b/>
                <w:color w:val="auto"/>
                <w:szCs w:val="21"/>
                <w:lang w:val="en-US" w:eastAsia="zh-CN"/>
              </w:rPr>
              <w:t>5</w:t>
            </w:r>
            <w:r>
              <w:rPr>
                <w:rFonts w:hint="eastAsia"/>
                <w:b/>
                <w:color w:val="auto"/>
                <w:szCs w:val="21"/>
              </w:rPr>
              <w:t>.代表作审读和面试答辩</w:t>
            </w:r>
          </w:p>
        </w:tc>
        <w:tc>
          <w:tcPr>
            <w:tcW w:w="1163" w:type="dxa"/>
            <w:vAlign w:val="center"/>
          </w:tcPr>
          <w:p w14:paraId="2F64F5FE">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-1代表作审读</w:t>
            </w:r>
          </w:p>
        </w:tc>
        <w:tc>
          <w:tcPr>
            <w:tcW w:w="14536" w:type="dxa"/>
            <w:gridSpan w:val="10"/>
            <w:vAlign w:val="center"/>
          </w:tcPr>
          <w:p w14:paraId="37662E42">
            <w:pPr>
              <w:numPr>
                <w:ilvl w:val="0"/>
                <w:numId w:val="0"/>
              </w:numPr>
              <w:jc w:val="left"/>
              <w:rPr>
                <w:rFonts w:hint="eastAsia" w:ascii="宋体" w:hAnsi="宋体" w:eastAsia="宋体" w:cs="宋体"/>
                <w:b w:val="0"/>
                <w:bCs w:val="0"/>
                <w:color w:val="auto"/>
                <w:sz w:val="21"/>
                <w:szCs w:val="21"/>
                <w:vertAlign w:val="baseline"/>
                <w:lang w:val="en-US" w:eastAsia="zh-CN"/>
              </w:rPr>
            </w:pPr>
            <w:r>
              <w:rPr>
                <w:rFonts w:hint="eastAsia" w:ascii="宋体" w:hAnsi="宋体" w:cs="宋体"/>
                <w:b w:val="0"/>
                <w:bCs w:val="0"/>
                <w:color w:val="auto"/>
                <w:sz w:val="21"/>
                <w:szCs w:val="21"/>
                <w:lang w:val="en-US" w:eastAsia="zh-CN"/>
              </w:rPr>
              <w:t>1）</w:t>
            </w:r>
            <w:r>
              <w:rPr>
                <w:rFonts w:hint="eastAsia" w:ascii="宋体" w:hAnsi="宋体" w:eastAsia="宋体" w:cs="宋体"/>
                <w:b w:val="0"/>
                <w:bCs w:val="0"/>
                <w:color w:val="auto"/>
                <w:sz w:val="21"/>
                <w:szCs w:val="21"/>
                <w:lang w:val="en-US" w:eastAsia="zh-CN"/>
              </w:rPr>
              <w:t>邵阳诗词发展脉络</w:t>
            </w:r>
            <w:r>
              <w:rPr>
                <w:rFonts w:hint="eastAsia" w:ascii="宋体" w:hAnsi="宋体" w:eastAsia="宋体" w:cs="宋体"/>
                <w:b w:val="0"/>
                <w:bCs w:val="0"/>
                <w:color w:val="auto"/>
                <w:sz w:val="21"/>
                <w:szCs w:val="21"/>
                <w:vertAlign w:val="baseline"/>
                <w:lang w:val="en-US" w:eastAsia="zh-CN"/>
              </w:rPr>
              <w:t>，邵阳学院学报（社会科学版），2020年第5期，独著，中国人文社会科学核心期刊（扩展版）、湖南高校社科优秀期刊，（代表作1）</w:t>
            </w:r>
            <w:r>
              <w:rPr>
                <w:rFonts w:hint="eastAsia" w:ascii="宋体" w:hAnsi="宋体" w:cs="宋体"/>
                <w:b w:val="0"/>
                <w:bCs w:val="0"/>
                <w:color w:val="auto"/>
                <w:sz w:val="21"/>
                <w:szCs w:val="21"/>
                <w:vertAlign w:val="baseline"/>
                <w:lang w:val="en-US" w:eastAsia="zh-CN"/>
              </w:rPr>
              <w:t>；</w:t>
            </w:r>
          </w:p>
          <w:p w14:paraId="2CCC3489">
            <w:pPr>
              <w:adjustRightInd w:val="0"/>
              <w:snapToGrid w:val="0"/>
              <w:spacing w:line="276" w:lineRule="auto"/>
              <w:rPr>
                <w:rFonts w:hint="eastAsia" w:ascii="宋体" w:hAnsi="宋体" w:eastAsia="宋体" w:cs="宋体"/>
                <w:b w:val="0"/>
                <w:bCs w:val="0"/>
                <w:color w:val="auto"/>
                <w:sz w:val="21"/>
                <w:szCs w:val="21"/>
                <w:vertAlign w:val="baseline"/>
                <w:lang w:val="en-US" w:eastAsia="zh-CN"/>
              </w:rPr>
            </w:pPr>
            <w:r>
              <w:rPr>
                <w:rFonts w:hint="eastAsia"/>
                <w:color w:val="auto"/>
                <w:lang w:val="en-US" w:eastAsia="zh-CN"/>
              </w:rPr>
              <w:t>2）</w:t>
            </w:r>
            <w:r>
              <w:rPr>
                <w:rFonts w:hint="eastAsia"/>
                <w:color w:val="auto"/>
                <w:lang w:eastAsia="zh-CN"/>
              </w:rPr>
              <w:t>诗词中的红色基因与德育实施路径，</w:t>
            </w:r>
            <w:r>
              <w:rPr>
                <w:rFonts w:hint="eastAsia" w:ascii="宋体" w:hAnsi="宋体" w:eastAsia="宋体" w:cs="宋体"/>
                <w:b w:val="0"/>
                <w:bCs w:val="0"/>
                <w:color w:val="auto"/>
                <w:sz w:val="21"/>
                <w:szCs w:val="21"/>
                <w:vertAlign w:val="baseline"/>
                <w:lang w:val="en-US" w:eastAsia="zh-CN"/>
              </w:rPr>
              <w:t>邵阳学院学报（社会科学版），2021年第5期，独著，中国人文社会科学核心期刊（扩展版）、湖南高校社科优秀期刊，（代表作2）</w:t>
            </w:r>
          </w:p>
          <w:p w14:paraId="52608AD4">
            <w:pPr>
              <w:adjustRightInd w:val="0"/>
              <w:snapToGrid w:val="0"/>
              <w:spacing w:line="276" w:lineRule="auto"/>
              <w:rPr>
                <w:rFonts w:hint="eastAsia" w:ascii="宋体" w:hAnsi="宋体" w:eastAsia="宋体" w:cs="宋体"/>
                <w:b w:val="0"/>
                <w:bCs w:val="0"/>
                <w:color w:val="auto"/>
                <w:sz w:val="21"/>
                <w:szCs w:val="21"/>
                <w:vertAlign w:val="baseline"/>
                <w:lang w:val="en-US" w:eastAsia="zh-CN"/>
              </w:rPr>
            </w:pPr>
            <w:r>
              <w:rPr>
                <w:rFonts w:hint="eastAsia"/>
                <w:b w:val="0"/>
                <w:bCs w:val="0"/>
                <w:color w:val="auto"/>
                <w:vertAlign w:val="baseline"/>
                <w:lang w:val="en-US" w:eastAsia="zh-CN"/>
              </w:rPr>
              <w:t>3）相信文学的价值——张先军文艺评论集，文化发展出版社（部级出版社），230千字，2025年5月，独著（代表作3）</w:t>
            </w:r>
          </w:p>
        </w:tc>
        <w:tc>
          <w:tcPr>
            <w:tcW w:w="1200" w:type="dxa"/>
            <w:vAlign w:val="center"/>
          </w:tcPr>
          <w:p w14:paraId="5EB2AC2E">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auto"/>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color w:val="auto"/>
                <w:szCs w:val="21"/>
              </w:rPr>
            </w:pPr>
          </w:p>
        </w:tc>
        <w:tc>
          <w:tcPr>
            <w:tcW w:w="1163" w:type="dxa"/>
            <w:vAlign w:val="center"/>
          </w:tcPr>
          <w:p w14:paraId="18D83720">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-2面试答辩</w:t>
            </w:r>
          </w:p>
        </w:tc>
        <w:tc>
          <w:tcPr>
            <w:tcW w:w="14536" w:type="dxa"/>
            <w:gridSpan w:val="10"/>
            <w:vAlign w:val="center"/>
          </w:tcPr>
          <w:p w14:paraId="35B52121">
            <w:pPr>
              <w:adjustRightInd w:val="0"/>
              <w:snapToGrid w:val="0"/>
              <w:spacing w:line="276" w:lineRule="auto"/>
              <w:rPr>
                <w:color w:val="auto"/>
                <w:szCs w:val="21"/>
              </w:rPr>
            </w:pPr>
            <w:r>
              <w:rPr>
                <w:rFonts w:hint="eastAsia"/>
                <w:color w:val="auto"/>
                <w:szCs w:val="21"/>
              </w:rPr>
              <w:t>不自评分。</w:t>
            </w:r>
          </w:p>
        </w:tc>
        <w:tc>
          <w:tcPr>
            <w:tcW w:w="1200" w:type="dxa"/>
            <w:vAlign w:val="center"/>
          </w:tcPr>
          <w:p w14:paraId="791DB469">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auto"/>
                <w:sz w:val="24"/>
              </w:rPr>
            </w:pPr>
          </w:p>
        </w:tc>
      </w:tr>
    </w:tbl>
    <w:p w14:paraId="01E9D3EE">
      <w:pPr>
        <w:rPr>
          <w:b/>
          <w:color w:val="auto"/>
          <w:sz w:val="24"/>
        </w:rPr>
      </w:pPr>
      <w:r>
        <w:rPr>
          <w:rFonts w:hint="eastAsia"/>
          <w:b/>
          <w:color w:val="auto"/>
          <w:sz w:val="24"/>
        </w:rPr>
        <w:t>填报说明：</w:t>
      </w:r>
    </w:p>
    <w:p w14:paraId="257F3A2D">
      <w:pPr>
        <w:ind w:firstLine="413" w:firstLineChars="196"/>
        <w:jc w:val="left"/>
        <w:rPr>
          <w:b/>
          <w:color w:val="auto"/>
          <w:szCs w:val="21"/>
        </w:rPr>
      </w:pPr>
      <w:r>
        <w:rPr>
          <w:rFonts w:hint="eastAsia"/>
          <w:b/>
          <w:color w:val="auto"/>
          <w:szCs w:val="21"/>
        </w:rPr>
        <w:t>1.申报人仔细对照湘开大校通〔2025〕90号文件</w:t>
      </w:r>
      <w:r>
        <w:rPr>
          <w:rFonts w:hint="eastAsia"/>
          <w:b/>
          <w:color w:val="auto"/>
          <w:szCs w:val="21"/>
          <w:lang w:val="en-US" w:eastAsia="zh-CN"/>
        </w:rPr>
        <w:t>附件4</w:t>
      </w:r>
      <w:r>
        <w:rPr>
          <w:rFonts w:hint="eastAsia"/>
          <w:b/>
          <w:color w:val="auto"/>
          <w:szCs w:val="21"/>
        </w:rPr>
        <w:t>《</w:t>
      </w:r>
      <w:r>
        <w:rPr>
          <w:rFonts w:hint="eastAsia"/>
          <w:b/>
          <w:color w:val="auto"/>
          <w:szCs w:val="21"/>
          <w:lang w:eastAsia="zh-CN"/>
        </w:rPr>
        <w:t>湖南开放大学</w:t>
      </w:r>
      <w:r>
        <w:rPr>
          <w:rFonts w:hint="eastAsia"/>
          <w:b/>
          <w:color w:val="auto"/>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color w:val="auto"/>
          <w:szCs w:val="21"/>
        </w:rPr>
      </w:pPr>
      <w:r>
        <w:rPr>
          <w:rFonts w:hint="eastAsia"/>
          <w:b/>
          <w:color w:val="auto"/>
          <w:szCs w:val="21"/>
        </w:rPr>
        <w:t>2.申报人必须如实填写，不得有任何弄虚作假、隐瞒歪曲事实真相、不如实填报情况。</w:t>
      </w:r>
    </w:p>
    <w:p w14:paraId="47FF57D7">
      <w:pPr>
        <w:ind w:firstLine="413" w:firstLineChars="196"/>
        <w:jc w:val="left"/>
        <w:rPr>
          <w:b/>
          <w:color w:val="auto"/>
          <w:szCs w:val="21"/>
        </w:rPr>
      </w:pPr>
      <w:r>
        <w:rPr>
          <w:rFonts w:hint="eastAsia"/>
          <w:b/>
          <w:color w:val="auto"/>
          <w:szCs w:val="21"/>
        </w:rPr>
        <w:t>3.申报人员必须严格按照以上格式填写公示表，未按要求填写的相关职能部门将不予审核与量化计分。</w:t>
      </w:r>
    </w:p>
    <w:p w14:paraId="46FFB46E">
      <w:pPr>
        <w:ind w:firstLine="413" w:firstLineChars="196"/>
        <w:jc w:val="left"/>
        <w:rPr>
          <w:b/>
          <w:color w:val="auto"/>
          <w:szCs w:val="21"/>
        </w:rPr>
      </w:pPr>
      <w:r>
        <w:rPr>
          <w:rFonts w:hint="eastAsia"/>
          <w:b/>
          <w:color w:val="auto"/>
          <w:szCs w:val="21"/>
        </w:rPr>
        <w:t>4.凡某项内容在多个二级指标中重复出现的，视为不如实填报。</w:t>
      </w:r>
    </w:p>
    <w:p w14:paraId="54AFB606">
      <w:pPr>
        <w:ind w:firstLine="413" w:firstLineChars="196"/>
        <w:jc w:val="left"/>
        <w:rPr>
          <w:b/>
          <w:color w:val="auto"/>
          <w:szCs w:val="21"/>
        </w:rPr>
      </w:pPr>
      <w:r>
        <w:rPr>
          <w:rFonts w:hint="eastAsia"/>
          <w:b/>
          <w:color w:val="auto"/>
          <w:szCs w:val="21"/>
        </w:rPr>
        <w:t>5.凡漏填扣分项的，视为隐瞒事实真相。</w:t>
      </w:r>
    </w:p>
    <w:p w14:paraId="707A743A">
      <w:pPr>
        <w:ind w:firstLine="413" w:firstLineChars="196"/>
        <w:jc w:val="left"/>
        <w:rPr>
          <w:b/>
          <w:color w:val="auto"/>
          <w:szCs w:val="21"/>
        </w:rPr>
      </w:pPr>
      <w:r>
        <w:rPr>
          <w:rFonts w:hint="eastAsia"/>
          <w:b/>
          <w:color w:val="auto"/>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color w:val="auto"/>
        </w:rPr>
      </w:pPr>
    </w:p>
    <w:p w14:paraId="0CCE845F">
      <w:pPr>
        <w:rPr>
          <w:b/>
          <w:color w:val="auto"/>
          <w:sz w:val="24"/>
        </w:rPr>
      </w:pPr>
      <w:r>
        <w:rPr>
          <w:rFonts w:hint="eastAsia"/>
          <w:b/>
          <w:color w:val="auto"/>
          <w:sz w:val="24"/>
        </w:rPr>
        <w:t>填表承诺：</w:t>
      </w:r>
    </w:p>
    <w:p w14:paraId="3DF34376">
      <w:pPr>
        <w:ind w:firstLine="472" w:firstLineChars="196"/>
        <w:jc w:val="left"/>
        <w:rPr>
          <w:b/>
          <w:color w:val="auto"/>
          <w:sz w:val="24"/>
          <w:u w:val="single"/>
        </w:rPr>
      </w:pPr>
      <w:r>
        <w:rPr>
          <w:rFonts w:hint="eastAsia"/>
          <w:b/>
          <w:color w:val="auto"/>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rPr>
          <w:color w:val="auto"/>
        </w:rPr>
      </w:pPr>
    </w:p>
    <w:p w14:paraId="12B2EF2D">
      <w:pPr>
        <w:spacing w:line="280" w:lineRule="exact"/>
        <w:jc w:val="both"/>
        <w:rPr>
          <w:color w:val="FF0000"/>
        </w:rPr>
      </w:pPr>
      <w:r>
        <w:rPr>
          <w:rFonts w:hint="eastAsia"/>
          <w:color w:val="auto"/>
        </w:rPr>
        <w:t>承诺人签名：</w:t>
      </w:r>
      <w:r>
        <w:rPr>
          <w:rFonts w:hint="eastAsia"/>
          <w:color w:val="auto"/>
          <w:lang w:val="en-US" w:eastAsia="zh-CN"/>
        </w:rPr>
        <w:t xml:space="preserve">        </w:t>
      </w:r>
      <w:r>
        <w:rPr>
          <w:rFonts w:hint="eastAsia"/>
          <w:color w:val="auto"/>
        </w:rPr>
        <w:t>年</w:t>
      </w:r>
      <w:r>
        <w:rPr>
          <w:rFonts w:hint="eastAsia"/>
          <w:color w:val="auto"/>
          <w:lang w:val="en-US" w:eastAsia="zh-CN"/>
        </w:rPr>
        <w:t xml:space="preserve">   </w:t>
      </w:r>
      <w:r>
        <w:rPr>
          <w:rFonts w:hint="eastAsia"/>
          <w:color w:val="auto"/>
        </w:rPr>
        <w:t>月</w:t>
      </w:r>
      <w:r>
        <w:rPr>
          <w:rFonts w:hint="eastAsia"/>
          <w:color w:val="auto"/>
          <w:lang w:val="en-US" w:eastAsia="zh-CN"/>
        </w:rPr>
        <w:t xml:space="preserve">   </w:t>
      </w:r>
      <w:r>
        <w:rPr>
          <w:rFonts w:hint="eastAsia"/>
          <w:color w:val="auto"/>
        </w:rPr>
        <w:t>日</w:t>
      </w:r>
      <w:r>
        <w:rPr>
          <w:rFonts w:hint="eastAsia"/>
          <w:color w:val="auto"/>
          <w:lang w:val="en-US" w:eastAsia="zh-CN"/>
        </w:rPr>
        <w:t xml:space="preserve">       </w:t>
      </w:r>
      <w:r>
        <w:rPr>
          <w:rFonts w:hint="eastAsia"/>
          <w:color w:val="auto"/>
        </w:rPr>
        <w:t>公示时间</w:t>
      </w:r>
      <w:r>
        <w:rPr>
          <w:rFonts w:hint="eastAsia"/>
          <w:color w:val="auto"/>
          <w:lang w:val="en-US" w:eastAsia="zh-CN"/>
        </w:rPr>
        <w:t xml:space="preserve"> </w:t>
      </w:r>
      <w:r>
        <w:rPr>
          <w:rFonts w:hint="eastAsia"/>
          <w:color w:val="auto"/>
        </w:rPr>
        <w:t>：</w:t>
      </w:r>
      <w:r>
        <w:rPr>
          <w:rFonts w:hint="eastAsia"/>
          <w:color w:val="auto"/>
          <w:lang w:val="en-US" w:eastAsia="zh-CN"/>
        </w:rPr>
        <w:t xml:space="preserve">  </w:t>
      </w:r>
      <w:r>
        <w:rPr>
          <w:rFonts w:hint="eastAsia"/>
          <w:color w:val="auto"/>
        </w:rPr>
        <w:t>年</w:t>
      </w:r>
      <w:r>
        <w:rPr>
          <w:rFonts w:hint="eastAsia"/>
          <w:color w:val="auto"/>
          <w:lang w:val="en-US" w:eastAsia="zh-CN"/>
        </w:rPr>
        <w:t xml:space="preserve">  </w:t>
      </w:r>
      <w:r>
        <w:rPr>
          <w:rFonts w:hint="eastAsia"/>
          <w:color w:val="auto"/>
        </w:rPr>
        <w:t>月</w:t>
      </w:r>
      <w:r>
        <w:rPr>
          <w:rFonts w:hint="eastAsia"/>
          <w:color w:val="auto"/>
          <w:lang w:val="en-US" w:eastAsia="zh-CN"/>
        </w:rPr>
        <w:t xml:space="preserve">  </w:t>
      </w:r>
      <w:r>
        <w:rPr>
          <w:rFonts w:hint="eastAsia"/>
          <w:color w:val="auto"/>
        </w:rPr>
        <w:t>日</w:t>
      </w:r>
      <w:r>
        <w:rPr>
          <w:rFonts w:hint="eastAsia"/>
          <w:color w:val="auto"/>
          <w:lang w:val="en-US" w:eastAsia="zh-CN"/>
        </w:rPr>
        <w:t xml:space="preserve">  </w:t>
      </w:r>
      <w:r>
        <w:rPr>
          <w:rFonts w:hint="eastAsia"/>
          <w:color w:val="auto"/>
        </w:rPr>
        <w:t>至</w:t>
      </w:r>
      <w:r>
        <w:rPr>
          <w:rFonts w:hint="eastAsia"/>
          <w:color w:val="auto"/>
          <w:lang w:val="en-US" w:eastAsia="zh-CN"/>
        </w:rPr>
        <w:t xml:space="preserve">  </w:t>
      </w:r>
      <w:r>
        <w:rPr>
          <w:rFonts w:hint="eastAsia"/>
          <w:color w:val="auto"/>
        </w:rPr>
        <w:t>月</w:t>
      </w:r>
      <w:r>
        <w:rPr>
          <w:rFonts w:hint="eastAsia"/>
          <w:color w:val="auto"/>
          <w:lang w:val="en-US" w:eastAsia="zh-CN"/>
        </w:rPr>
        <w:t xml:space="preserve">   </w:t>
      </w:r>
      <w:r>
        <w:rPr>
          <w:rFonts w:hint="eastAsia"/>
          <w:color w:val="auto"/>
        </w:rPr>
        <w:t xml:space="preserve">日              </w:t>
      </w:r>
      <w:r>
        <w:rPr>
          <w:rFonts w:hint="eastAsia"/>
          <w:color w:val="auto"/>
          <w:lang w:val="en-US" w:eastAsia="zh-CN"/>
        </w:rPr>
        <w:t xml:space="preserve">   </w:t>
      </w:r>
      <w:r>
        <w:rPr>
          <w:rFonts w:hint="eastAsia"/>
          <w:color w:val="auto"/>
        </w:rPr>
        <w:t xml:space="preserve">公示结果：                    </w:t>
      </w:r>
      <w:r>
        <w:rPr>
          <w:rFonts w:hint="eastAsia"/>
          <w:color w:val="auto"/>
          <w:lang w:val="en-US" w:eastAsia="zh-CN"/>
        </w:rPr>
        <w:t xml:space="preserve">   </w:t>
      </w:r>
      <w:r>
        <w:rPr>
          <w:rFonts w:hint="eastAsia"/>
          <w:color w:val="auto"/>
        </w:rPr>
        <w:t xml:space="preserve">负责人：           </w:t>
      </w:r>
      <w:r>
        <w:rPr>
          <w:rFonts w:hint="eastAsia"/>
          <w:color w:val="auto"/>
          <w:lang w:val="en-US" w:eastAsia="zh-CN"/>
        </w:rPr>
        <w:t xml:space="preserve">       所在</w:t>
      </w:r>
      <w:r>
        <w:rPr>
          <w:rFonts w:hint="eastAsia"/>
          <w:color w:val="auto"/>
        </w:rPr>
        <w:t>单位</w:t>
      </w:r>
      <w:r>
        <w:rPr>
          <w:rFonts w:hint="eastAsia"/>
          <w:color w:val="auto"/>
          <w:lang w:eastAsia="zh-CN"/>
        </w:rPr>
        <w:t>（</w:t>
      </w:r>
      <w:r>
        <w:rPr>
          <w:rFonts w:hint="eastAsia"/>
          <w:color w:val="auto"/>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ED2FA581-D3DC-43DD-B06F-22EF5E4212CE}"/>
  </w:font>
  <w:font w:name="方正小标宋简体">
    <w:panose1 w:val="02000000000000000000"/>
    <w:charset w:val="86"/>
    <w:family w:val="auto"/>
    <w:pitch w:val="default"/>
    <w:sig w:usb0="00000001" w:usb1="08000000" w:usb2="00000000" w:usb3="00000000" w:csb0="00040000" w:csb1="00000000"/>
    <w:embedRegular r:id="rId2" w:fontKey="{A99811C4-7A46-4E2C-ABB6-79EDE2B0FE3C}"/>
  </w:font>
  <w:font w:name="方正书宋简体">
    <w:altName w:val="宋体"/>
    <w:panose1 w:val="00000000000000000000"/>
    <w:charset w:val="86"/>
    <w:family w:val="script"/>
    <w:pitch w:val="default"/>
    <w:sig w:usb0="00000000" w:usb1="00000000" w:usb2="00000010" w:usb3="00000000" w:csb0="00040000" w:csb1="00000000"/>
    <w:embedRegular r:id="rId3" w:fontKey="{F4323A7A-92C4-4DEE-A7A3-B813923F645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B765D27"/>
    <w:rsid w:val="0B826B70"/>
    <w:rsid w:val="0CA42D4A"/>
    <w:rsid w:val="120310A6"/>
    <w:rsid w:val="15331020"/>
    <w:rsid w:val="15DE6CEC"/>
    <w:rsid w:val="1A352CAC"/>
    <w:rsid w:val="1E446A54"/>
    <w:rsid w:val="25B2301B"/>
    <w:rsid w:val="26107413"/>
    <w:rsid w:val="281D7F89"/>
    <w:rsid w:val="2A772858"/>
    <w:rsid w:val="2BE9306B"/>
    <w:rsid w:val="2C852B16"/>
    <w:rsid w:val="2F611AB1"/>
    <w:rsid w:val="3E104D62"/>
    <w:rsid w:val="3EB61481"/>
    <w:rsid w:val="3F3DCAAD"/>
    <w:rsid w:val="40DB2C76"/>
    <w:rsid w:val="44621D74"/>
    <w:rsid w:val="458D6C93"/>
    <w:rsid w:val="45AF476D"/>
    <w:rsid w:val="4D534390"/>
    <w:rsid w:val="4F8C6B6C"/>
    <w:rsid w:val="5084660D"/>
    <w:rsid w:val="54380D30"/>
    <w:rsid w:val="550E2000"/>
    <w:rsid w:val="565F6965"/>
    <w:rsid w:val="5A243D5C"/>
    <w:rsid w:val="5A706D61"/>
    <w:rsid w:val="5AD65B19"/>
    <w:rsid w:val="5DA511B5"/>
    <w:rsid w:val="6093187E"/>
    <w:rsid w:val="66D439F4"/>
    <w:rsid w:val="670026AE"/>
    <w:rsid w:val="67DC0040"/>
    <w:rsid w:val="6AEE5503"/>
    <w:rsid w:val="6E7FD857"/>
    <w:rsid w:val="741F338B"/>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3806</Words>
  <Characters>4284</Characters>
  <Lines>30</Lines>
  <Paragraphs>8</Paragraphs>
  <TotalTime>24</TotalTime>
  <ScaleCrop>false</ScaleCrop>
  <LinksUpToDate>false</LinksUpToDate>
  <CharactersWithSpaces>4454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2025-09-30T12:14:21Z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